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98" w:rsidRPr="00EF6823" w:rsidRDefault="001A6098" w:rsidP="001A6098">
      <w:pPr>
        <w:pStyle w:val="ListParagraph"/>
        <w:autoSpaceDE w:val="0"/>
        <w:autoSpaceDN w:val="0"/>
        <w:adjustRightInd w:val="0"/>
        <w:spacing w:before="240" w:after="240" w:line="240" w:lineRule="auto"/>
        <w:ind w:left="0"/>
        <w:contextualSpacing w:val="0"/>
        <w:jc w:val="center"/>
        <w:rPr>
          <w:rFonts w:ascii="Times New Roman" w:hAnsi="Times New Roman" w:cs="Times New Roman"/>
          <w:b/>
          <w:sz w:val="24"/>
          <w:szCs w:val="24"/>
          <w:u w:val="single"/>
        </w:rPr>
      </w:pPr>
      <w:r w:rsidRPr="00EF6823">
        <w:rPr>
          <w:rFonts w:ascii="Times New Roman" w:hAnsi="Times New Roman" w:cs="Times New Roman"/>
          <w:b/>
          <w:sz w:val="24"/>
          <w:szCs w:val="24"/>
          <w:u w:val="single"/>
        </w:rPr>
        <w:t>Shippers Defined</w:t>
      </w:r>
    </w:p>
    <w:p w:rsidR="001A6098" w:rsidRPr="00EF6823" w:rsidRDefault="001A6098" w:rsidP="001A6098">
      <w:pPr>
        <w:pStyle w:val="ListParagraph"/>
        <w:autoSpaceDE w:val="0"/>
        <w:autoSpaceDN w:val="0"/>
        <w:adjustRightInd w:val="0"/>
        <w:spacing w:before="240" w:after="240" w:line="240" w:lineRule="auto"/>
        <w:ind w:left="0"/>
        <w:contextualSpacing w:val="0"/>
        <w:jc w:val="both"/>
        <w:rPr>
          <w:rFonts w:ascii="Times New Roman" w:hAnsi="Times New Roman" w:cs="Times New Roman"/>
          <w:sz w:val="24"/>
          <w:szCs w:val="24"/>
        </w:rPr>
      </w:pPr>
      <w:r w:rsidRPr="00EF6823">
        <w:rPr>
          <w:rFonts w:ascii="Times New Roman" w:hAnsi="Times New Roman" w:cs="Times New Roman"/>
          <w:sz w:val="24"/>
          <w:szCs w:val="24"/>
        </w:rPr>
        <w:t xml:space="preserve">There are several types of individuals and organizations involved in the movement of sensitive items. </w:t>
      </w:r>
      <w:r w:rsidRPr="00EF6823">
        <w:rPr>
          <w:rFonts w:ascii="Times New Roman" w:hAnsi="Times New Roman" w:cs="Times New Roman"/>
          <w:b/>
          <w:sz w:val="24"/>
          <w:szCs w:val="24"/>
        </w:rPr>
        <w:t xml:space="preserve">Freight forwarders, carriers, port authorities, waterway operators, shipping companies, air carriers, railways, and trucking companies </w:t>
      </w:r>
      <w:r w:rsidRPr="00EF6823">
        <w:rPr>
          <w:rFonts w:ascii="Times New Roman" w:hAnsi="Times New Roman" w:cs="Times New Roman"/>
          <w:sz w:val="24"/>
          <w:szCs w:val="24"/>
        </w:rPr>
        <w:t xml:space="preserve">form the bulk of this population. </w:t>
      </w:r>
    </w:p>
    <w:p w:rsidR="001A6098" w:rsidRPr="00EF6823" w:rsidRDefault="001A6098" w:rsidP="001A6098">
      <w:pPr>
        <w:pStyle w:val="ListParagraph"/>
        <w:autoSpaceDE w:val="0"/>
        <w:autoSpaceDN w:val="0"/>
        <w:adjustRightInd w:val="0"/>
        <w:spacing w:before="240" w:after="240" w:line="240" w:lineRule="auto"/>
        <w:ind w:left="0"/>
        <w:contextualSpacing w:val="0"/>
        <w:jc w:val="both"/>
        <w:rPr>
          <w:rFonts w:ascii="Times New Roman" w:hAnsi="Times New Roman" w:cs="Times New Roman"/>
          <w:sz w:val="24"/>
          <w:szCs w:val="24"/>
        </w:rPr>
      </w:pPr>
      <w:r w:rsidRPr="00EF6823">
        <w:rPr>
          <w:rFonts w:ascii="Times New Roman" w:hAnsi="Times New Roman" w:cs="Times New Roman"/>
          <w:noProof/>
          <w:color w:val="7030A0"/>
          <w:sz w:val="24"/>
          <w:szCs w:val="24"/>
        </w:rPr>
        <w:drawing>
          <wp:anchor distT="0" distB="0" distL="114300" distR="114300" simplePos="0" relativeHeight="251660288" behindDoc="0" locked="0" layoutInCell="1" allowOverlap="1" wp14:anchorId="708546B6" wp14:editId="43F6B2F9">
            <wp:simplePos x="0" y="0"/>
            <wp:positionH relativeFrom="margin">
              <wp:posOffset>-288290</wp:posOffset>
            </wp:positionH>
            <wp:positionV relativeFrom="margin">
              <wp:posOffset>2295525</wp:posOffset>
            </wp:positionV>
            <wp:extent cx="6481445" cy="2724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pers content.bmp"/>
                    <pic:cNvPicPr/>
                  </pic:nvPicPr>
                  <pic:blipFill>
                    <a:blip r:embed="rId9">
                      <a:extLst>
                        <a:ext uri="{28A0092B-C50C-407E-A947-70E740481C1C}">
                          <a14:useLocalDpi xmlns:a14="http://schemas.microsoft.com/office/drawing/2010/main" val="0"/>
                        </a:ext>
                      </a:extLst>
                    </a:blip>
                    <a:stretch>
                      <a:fillRect/>
                    </a:stretch>
                  </pic:blipFill>
                  <pic:spPr>
                    <a:xfrm>
                      <a:off x="0" y="0"/>
                      <a:ext cx="6481445" cy="2724150"/>
                    </a:xfrm>
                    <a:prstGeom prst="rect">
                      <a:avLst/>
                    </a:prstGeom>
                  </pic:spPr>
                </pic:pic>
              </a:graphicData>
            </a:graphic>
          </wp:anchor>
        </w:drawing>
      </w:r>
      <w:r w:rsidRPr="00EF6823">
        <w:rPr>
          <w:rFonts w:ascii="Times New Roman" w:hAnsi="Times New Roman" w:cs="Times New Roman"/>
          <w:sz w:val="24"/>
          <w:szCs w:val="24"/>
        </w:rPr>
        <w:t xml:space="preserve">While subsets within this population often interrelate, each performs different duties. Some of them are primarily responsible for moving actual cargo and others are responsible for maintaining ports, vessels, waterways, and other physical systems through which cargo passes. </w:t>
      </w:r>
    </w:p>
    <w:p w:rsidR="001A6098" w:rsidRPr="00EF6823" w:rsidRDefault="001A6098" w:rsidP="001A6098">
      <w:pPr>
        <w:pStyle w:val="ListParagraph"/>
        <w:autoSpaceDE w:val="0"/>
        <w:autoSpaceDN w:val="0"/>
        <w:adjustRightInd w:val="0"/>
        <w:spacing w:after="240" w:line="240" w:lineRule="auto"/>
        <w:ind w:left="0"/>
        <w:contextualSpacing w:val="0"/>
        <w:jc w:val="both"/>
        <w:rPr>
          <w:rFonts w:ascii="Times New Roman" w:hAnsi="Times New Roman" w:cs="Times New Roman"/>
          <w:sz w:val="24"/>
          <w:szCs w:val="24"/>
        </w:rPr>
      </w:pPr>
      <w:r w:rsidRPr="00EF6823">
        <w:rPr>
          <w:rFonts w:ascii="Times New Roman" w:hAnsi="Times New Roman" w:cs="Times New Roman"/>
          <w:sz w:val="24"/>
          <w:szCs w:val="24"/>
        </w:rPr>
        <w:t>The picture below provides a brief illustration of this relationship.</w:t>
      </w:r>
    </w:p>
    <w:p w:rsidR="001A6098" w:rsidRDefault="001A6098" w:rsidP="001A6098">
      <w:pPr>
        <w:rPr>
          <w:rFonts w:ascii="Times New Roman" w:hAnsi="Times New Roman" w:cs="Times New Roman"/>
          <w:color w:val="7030A0"/>
        </w:rPr>
      </w:pPr>
      <w:r>
        <w:rPr>
          <w:rFonts w:ascii="Times New Roman" w:hAnsi="Times New Roman" w:cs="Times New Roman"/>
          <w:color w:val="7030A0"/>
        </w:rPr>
        <w:br w:type="page"/>
      </w:r>
    </w:p>
    <w:p w:rsidR="001A6098" w:rsidRPr="00804B51" w:rsidRDefault="001A6098" w:rsidP="001A6098">
      <w:pPr>
        <w:pStyle w:val="ListParagraph"/>
        <w:autoSpaceDE w:val="0"/>
        <w:autoSpaceDN w:val="0"/>
        <w:adjustRightInd w:val="0"/>
        <w:spacing w:after="0" w:line="240" w:lineRule="auto"/>
        <w:ind w:left="0"/>
        <w:contextualSpacing w:val="0"/>
        <w:jc w:val="both"/>
        <w:rPr>
          <w:rFonts w:ascii="Times New Roman" w:hAnsi="Times New Roman" w:cs="Times New Roman"/>
          <w:u w:val="single"/>
        </w:rPr>
      </w:pPr>
      <w:r w:rsidRPr="00804B51">
        <w:rPr>
          <w:rFonts w:ascii="Times New Roman" w:hAnsi="Times New Roman" w:cs="Times New Roman"/>
          <w:u w:val="single"/>
        </w:rPr>
        <w:lastRenderedPageBreak/>
        <w:t>Shippers Defined: Shippers’ Roles</w:t>
      </w:r>
    </w:p>
    <w:p w:rsidR="001A6098" w:rsidRPr="003C2ED2" w:rsidRDefault="001A6098" w:rsidP="001A6098">
      <w:pPr>
        <w:pStyle w:val="ListParagraph"/>
        <w:autoSpaceDE w:val="0"/>
        <w:autoSpaceDN w:val="0"/>
        <w:adjustRightInd w:val="0"/>
        <w:spacing w:after="120" w:line="240" w:lineRule="auto"/>
        <w:ind w:left="0"/>
        <w:contextualSpacing w:val="0"/>
        <w:jc w:val="both"/>
        <w:rPr>
          <w:rFonts w:ascii="Times New Roman" w:hAnsi="Times New Roman" w:cs="Times New Roman"/>
          <w:color w:val="0070C0"/>
          <w:u w:val="single"/>
        </w:rPr>
      </w:pPr>
    </w:p>
    <w:tbl>
      <w:tblPr>
        <w:tblStyle w:val="TableGrid"/>
        <w:tblW w:w="0" w:type="auto"/>
        <w:jc w:val="center"/>
        <w:tblInd w:w="-612" w:type="dxa"/>
        <w:tblLayout w:type="fixed"/>
        <w:tblLook w:val="04A0" w:firstRow="1" w:lastRow="0" w:firstColumn="1" w:lastColumn="0" w:noHBand="0" w:noVBand="1"/>
      </w:tblPr>
      <w:tblGrid>
        <w:gridCol w:w="3420"/>
        <w:gridCol w:w="3060"/>
        <w:gridCol w:w="3330"/>
      </w:tblGrid>
      <w:tr w:rsidR="001A6098" w:rsidTr="00152FB1">
        <w:trPr>
          <w:trHeight w:val="296"/>
          <w:jc w:val="center"/>
        </w:trPr>
        <w:tc>
          <w:tcPr>
            <w:tcW w:w="3420" w:type="dxa"/>
            <w:shd w:val="clear" w:color="auto" w:fill="4F81BD" w:themeFill="accent1"/>
            <w:vAlign w:val="center"/>
          </w:tcPr>
          <w:p w:rsidR="001A6098" w:rsidRPr="004A4C94" w:rsidRDefault="001A6098" w:rsidP="00152FB1">
            <w:pPr>
              <w:pStyle w:val="ListParagraph"/>
              <w:autoSpaceDE w:val="0"/>
              <w:autoSpaceDN w:val="0"/>
              <w:adjustRightInd w:val="0"/>
              <w:spacing w:before="240" w:after="240"/>
              <w:ind w:left="0"/>
              <w:contextualSpacing w:val="0"/>
              <w:jc w:val="center"/>
              <w:rPr>
                <w:rFonts w:ascii="Times New Roman" w:hAnsi="Times New Roman" w:cs="Times New Roman"/>
                <w:b/>
                <w:color w:val="FFFFFF" w:themeColor="background1"/>
                <w:u w:val="single"/>
              </w:rPr>
            </w:pPr>
            <w:r w:rsidRPr="004A4C94">
              <w:rPr>
                <w:rFonts w:ascii="Times New Roman" w:hAnsi="Times New Roman" w:cs="Times New Roman"/>
                <w:b/>
                <w:color w:val="FFFFFF" w:themeColor="background1"/>
                <w:u w:val="single"/>
              </w:rPr>
              <w:t>Freight Forwarders</w:t>
            </w:r>
          </w:p>
        </w:tc>
        <w:tc>
          <w:tcPr>
            <w:tcW w:w="3060" w:type="dxa"/>
            <w:shd w:val="clear" w:color="auto" w:fill="4F81BD" w:themeFill="accent1"/>
            <w:vAlign w:val="center"/>
          </w:tcPr>
          <w:p w:rsidR="001A6098" w:rsidRPr="004A4C94" w:rsidRDefault="001A6098" w:rsidP="00152FB1">
            <w:pPr>
              <w:pStyle w:val="ListParagraph"/>
              <w:autoSpaceDE w:val="0"/>
              <w:autoSpaceDN w:val="0"/>
              <w:adjustRightInd w:val="0"/>
              <w:spacing w:before="240" w:after="240"/>
              <w:ind w:left="0"/>
              <w:contextualSpacing w:val="0"/>
              <w:jc w:val="center"/>
              <w:rPr>
                <w:rFonts w:ascii="Times New Roman" w:hAnsi="Times New Roman" w:cs="Times New Roman"/>
                <w:b/>
                <w:color w:val="FFFFFF" w:themeColor="background1"/>
                <w:u w:val="single"/>
              </w:rPr>
            </w:pPr>
            <w:r w:rsidRPr="004A4C94">
              <w:rPr>
                <w:rFonts w:ascii="Times New Roman" w:hAnsi="Times New Roman" w:cs="Times New Roman"/>
                <w:b/>
                <w:color w:val="FFFFFF" w:themeColor="background1"/>
                <w:u w:val="single"/>
              </w:rPr>
              <w:t>Carriers</w:t>
            </w:r>
          </w:p>
        </w:tc>
        <w:tc>
          <w:tcPr>
            <w:tcW w:w="3330" w:type="dxa"/>
            <w:shd w:val="clear" w:color="auto" w:fill="4F81BD" w:themeFill="accent1"/>
            <w:vAlign w:val="center"/>
          </w:tcPr>
          <w:p w:rsidR="001A6098" w:rsidRPr="004A4C94" w:rsidRDefault="001A6098" w:rsidP="00152FB1">
            <w:pPr>
              <w:pStyle w:val="ListParagraph"/>
              <w:autoSpaceDE w:val="0"/>
              <w:autoSpaceDN w:val="0"/>
              <w:adjustRightInd w:val="0"/>
              <w:spacing w:before="120" w:after="120"/>
              <w:ind w:left="0"/>
              <w:contextualSpacing w:val="0"/>
              <w:jc w:val="center"/>
              <w:rPr>
                <w:rFonts w:ascii="Times New Roman" w:hAnsi="Times New Roman" w:cs="Times New Roman"/>
                <w:color w:val="FFFFFF" w:themeColor="background1"/>
                <w:u w:val="single"/>
              </w:rPr>
            </w:pPr>
            <w:r w:rsidRPr="004A4C94">
              <w:rPr>
                <w:rFonts w:ascii="Times New Roman" w:hAnsi="Times New Roman" w:cs="Times New Roman"/>
                <w:b/>
                <w:color w:val="FFFFFF" w:themeColor="background1"/>
                <w:u w:val="single"/>
              </w:rPr>
              <w:t>Customs Brokers</w:t>
            </w:r>
          </w:p>
        </w:tc>
      </w:tr>
      <w:tr w:rsidR="001A6098" w:rsidTr="00152FB1">
        <w:trPr>
          <w:trHeight w:val="3896"/>
          <w:jc w:val="center"/>
        </w:trPr>
        <w:tc>
          <w:tcPr>
            <w:tcW w:w="3420" w:type="dxa"/>
          </w:tcPr>
          <w:p w:rsidR="001A6098" w:rsidRPr="003C2ED2"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b/>
                <w:sz w:val="20"/>
                <w:szCs w:val="20"/>
              </w:rPr>
            </w:pPr>
            <w:r w:rsidRPr="003C2ED2">
              <w:rPr>
                <w:rFonts w:ascii="Times New Roman" w:hAnsi="Times New Roman" w:cs="Times New Roman"/>
                <w:b/>
                <w:sz w:val="20"/>
                <w:szCs w:val="20"/>
              </w:rPr>
              <w:t>Serve as agents who arrange for:</w:t>
            </w:r>
            <w:r w:rsidRPr="003C2ED2">
              <w:rPr>
                <w:rFonts w:ascii="Times New Roman" w:hAnsi="Times New Roman" w:cs="Times New Roman"/>
                <w:sz w:val="20"/>
                <w:szCs w:val="20"/>
              </w:rPr>
              <w:t xml:space="preserve"> </w:t>
            </w:r>
          </w:p>
          <w:p w:rsidR="001A6098" w:rsidRPr="003C2ED2" w:rsidRDefault="001A6098" w:rsidP="00152FB1">
            <w:pPr>
              <w:pStyle w:val="ListParagraph"/>
              <w:numPr>
                <w:ilvl w:val="0"/>
                <w:numId w:val="29"/>
              </w:numPr>
              <w:autoSpaceDE w:val="0"/>
              <w:autoSpaceDN w:val="0"/>
              <w:adjustRightInd w:val="0"/>
              <w:spacing w:after="120"/>
              <w:ind w:left="387"/>
              <w:contextualSpacing w:val="0"/>
              <w:jc w:val="both"/>
              <w:rPr>
                <w:rFonts w:ascii="Times New Roman" w:hAnsi="Times New Roman" w:cs="Times New Roman"/>
                <w:sz w:val="20"/>
                <w:szCs w:val="20"/>
              </w:rPr>
            </w:pPr>
            <w:r w:rsidRPr="003C2ED2">
              <w:rPr>
                <w:rFonts w:ascii="Times New Roman" w:hAnsi="Times New Roman" w:cs="Times New Roman"/>
                <w:sz w:val="20"/>
                <w:szCs w:val="20"/>
              </w:rPr>
              <w:t xml:space="preserve">Shipment of goods belonging to their client/exporters </w:t>
            </w:r>
          </w:p>
          <w:p w:rsidR="001A6098" w:rsidRPr="003C2ED2" w:rsidRDefault="001A6098" w:rsidP="00152FB1">
            <w:pPr>
              <w:pStyle w:val="ListParagraph"/>
              <w:numPr>
                <w:ilvl w:val="0"/>
                <w:numId w:val="29"/>
              </w:numPr>
              <w:autoSpaceDE w:val="0"/>
              <w:autoSpaceDN w:val="0"/>
              <w:adjustRightInd w:val="0"/>
              <w:spacing w:after="120"/>
              <w:ind w:left="387"/>
              <w:contextualSpacing w:val="0"/>
              <w:jc w:val="both"/>
              <w:rPr>
                <w:rFonts w:ascii="Times New Roman" w:hAnsi="Times New Roman" w:cs="Times New Roman"/>
                <w:sz w:val="20"/>
                <w:szCs w:val="20"/>
              </w:rPr>
            </w:pPr>
            <w:r w:rsidRPr="003C2ED2">
              <w:rPr>
                <w:rFonts w:ascii="Times New Roman" w:hAnsi="Times New Roman" w:cs="Times New Roman"/>
                <w:sz w:val="20"/>
                <w:szCs w:val="20"/>
              </w:rPr>
              <w:t xml:space="preserve">Packing Domestic and international transportation via sea, air or road </w:t>
            </w:r>
          </w:p>
          <w:p w:rsidR="001A6098" w:rsidRPr="003C2ED2" w:rsidRDefault="001A6098" w:rsidP="00152FB1">
            <w:pPr>
              <w:pStyle w:val="ListParagraph"/>
              <w:numPr>
                <w:ilvl w:val="0"/>
                <w:numId w:val="29"/>
              </w:numPr>
              <w:autoSpaceDE w:val="0"/>
              <w:autoSpaceDN w:val="0"/>
              <w:adjustRightInd w:val="0"/>
              <w:spacing w:after="120"/>
              <w:ind w:left="387"/>
              <w:contextualSpacing w:val="0"/>
              <w:jc w:val="both"/>
              <w:rPr>
                <w:rFonts w:ascii="Times New Roman" w:hAnsi="Times New Roman" w:cs="Times New Roman"/>
                <w:sz w:val="20"/>
                <w:szCs w:val="20"/>
              </w:rPr>
            </w:pPr>
            <w:r w:rsidRPr="003C2ED2">
              <w:rPr>
                <w:rFonts w:ascii="Times New Roman" w:hAnsi="Times New Roman" w:cs="Times New Roman"/>
                <w:sz w:val="20"/>
                <w:szCs w:val="20"/>
              </w:rPr>
              <w:t xml:space="preserve">Payment of freight charges and insurance </w:t>
            </w:r>
          </w:p>
          <w:p w:rsidR="001A6098" w:rsidRPr="003C2ED2" w:rsidRDefault="001A6098" w:rsidP="00152FB1">
            <w:pPr>
              <w:pStyle w:val="ListParagraph"/>
              <w:numPr>
                <w:ilvl w:val="0"/>
                <w:numId w:val="29"/>
              </w:numPr>
              <w:autoSpaceDE w:val="0"/>
              <w:autoSpaceDN w:val="0"/>
              <w:adjustRightInd w:val="0"/>
              <w:spacing w:after="120"/>
              <w:ind w:left="387"/>
              <w:contextualSpacing w:val="0"/>
              <w:jc w:val="both"/>
              <w:rPr>
                <w:rFonts w:ascii="Times New Roman" w:hAnsi="Times New Roman" w:cs="Times New Roman"/>
                <w:sz w:val="20"/>
                <w:szCs w:val="20"/>
              </w:rPr>
            </w:pPr>
            <w:r w:rsidRPr="003C2ED2">
              <w:rPr>
                <w:rFonts w:ascii="Times New Roman" w:hAnsi="Times New Roman" w:cs="Times New Roman"/>
                <w:sz w:val="20"/>
                <w:szCs w:val="20"/>
              </w:rPr>
              <w:t xml:space="preserve">Customs duties </w:t>
            </w:r>
          </w:p>
          <w:p w:rsidR="001A6098" w:rsidRPr="003C2ED2"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b/>
                <w:sz w:val="20"/>
                <w:szCs w:val="20"/>
              </w:rPr>
            </w:pPr>
            <w:r w:rsidRPr="003C2ED2">
              <w:rPr>
                <w:rFonts w:ascii="Times New Roman" w:hAnsi="Times New Roman" w:cs="Times New Roman"/>
                <w:b/>
                <w:sz w:val="20"/>
                <w:szCs w:val="20"/>
              </w:rPr>
              <w:t xml:space="preserve">May consolidate goods at various points during transit </w:t>
            </w:r>
          </w:p>
          <w:p w:rsidR="001A6098" w:rsidRPr="003C2ED2"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b/>
                <w:sz w:val="20"/>
                <w:szCs w:val="20"/>
              </w:rPr>
            </w:pPr>
            <w:r w:rsidRPr="003C2ED2">
              <w:rPr>
                <w:rFonts w:ascii="Times New Roman" w:hAnsi="Times New Roman" w:cs="Times New Roman"/>
                <w:b/>
                <w:sz w:val="20"/>
                <w:szCs w:val="20"/>
              </w:rPr>
              <w:t xml:space="preserve">Are usually private enterprises </w:t>
            </w:r>
          </w:p>
          <w:p w:rsidR="001A6098" w:rsidRPr="003C2ED2"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b/>
                <w:sz w:val="20"/>
                <w:szCs w:val="20"/>
              </w:rPr>
            </w:pPr>
            <w:r w:rsidRPr="003C2ED2">
              <w:rPr>
                <w:rFonts w:ascii="Times New Roman" w:hAnsi="Times New Roman" w:cs="Times New Roman"/>
                <w:b/>
                <w:sz w:val="20"/>
                <w:szCs w:val="20"/>
              </w:rPr>
              <w:t xml:space="preserve">May be licensed by a government agency </w:t>
            </w:r>
          </w:p>
        </w:tc>
        <w:tc>
          <w:tcPr>
            <w:tcW w:w="3060" w:type="dxa"/>
          </w:tcPr>
          <w:p w:rsidR="001A6098" w:rsidRPr="00241F35"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b/>
                <w:sz w:val="20"/>
                <w:szCs w:val="20"/>
              </w:rPr>
            </w:pPr>
            <w:r w:rsidRPr="00241F35">
              <w:rPr>
                <w:rFonts w:ascii="Times New Roman" w:hAnsi="Times New Roman" w:cs="Times New Roman"/>
                <w:b/>
                <w:sz w:val="20"/>
                <w:szCs w:val="20"/>
              </w:rPr>
              <w:t xml:space="preserve">May use their own methods of transportation </w:t>
            </w:r>
          </w:p>
          <w:p w:rsidR="001A6098" w:rsidRPr="00241F35"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b/>
                <w:sz w:val="20"/>
                <w:szCs w:val="20"/>
              </w:rPr>
            </w:pPr>
            <w:r w:rsidRPr="00241F35">
              <w:rPr>
                <w:rFonts w:ascii="Times New Roman" w:hAnsi="Times New Roman" w:cs="Times New Roman"/>
                <w:b/>
                <w:sz w:val="20"/>
                <w:szCs w:val="20"/>
              </w:rPr>
              <w:t xml:space="preserve">May partner with commercial carriers </w:t>
            </w:r>
          </w:p>
          <w:p w:rsidR="001A6098" w:rsidRPr="003C2ED2" w:rsidRDefault="001A6098" w:rsidP="00152FB1">
            <w:pPr>
              <w:pStyle w:val="ListParagraph"/>
              <w:autoSpaceDE w:val="0"/>
              <w:autoSpaceDN w:val="0"/>
              <w:adjustRightInd w:val="0"/>
              <w:spacing w:before="120" w:after="120"/>
              <w:ind w:left="0"/>
              <w:contextualSpacing w:val="0"/>
              <w:jc w:val="both"/>
              <w:rPr>
                <w:rFonts w:ascii="Times New Roman" w:hAnsi="Times New Roman" w:cs="Times New Roman"/>
                <w:sz w:val="20"/>
                <w:szCs w:val="20"/>
              </w:rPr>
            </w:pPr>
          </w:p>
          <w:p w:rsidR="001A6098" w:rsidRPr="003C2ED2" w:rsidRDefault="001A6098" w:rsidP="00152FB1">
            <w:pPr>
              <w:pStyle w:val="ListParagraph"/>
              <w:autoSpaceDE w:val="0"/>
              <w:autoSpaceDN w:val="0"/>
              <w:adjustRightInd w:val="0"/>
              <w:spacing w:before="120" w:after="120"/>
              <w:ind w:left="0"/>
              <w:contextualSpacing w:val="0"/>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14:anchorId="203BBE0A" wp14:editId="2EF653C9">
                  <wp:extent cx="1651383" cy="16573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ipper18.bmp"/>
                          <pic:cNvPicPr/>
                        </pic:nvPicPr>
                        <pic:blipFill>
                          <a:blip r:embed="rId10">
                            <a:extLst>
                              <a:ext uri="{28A0092B-C50C-407E-A947-70E740481C1C}">
                                <a14:useLocalDpi xmlns:a14="http://schemas.microsoft.com/office/drawing/2010/main" val="0"/>
                              </a:ext>
                            </a:extLst>
                          </a:blip>
                          <a:stretch>
                            <a:fillRect/>
                          </a:stretch>
                        </pic:blipFill>
                        <pic:spPr>
                          <a:xfrm>
                            <a:off x="0" y="0"/>
                            <a:ext cx="1657608" cy="1663598"/>
                          </a:xfrm>
                          <a:prstGeom prst="rect">
                            <a:avLst/>
                          </a:prstGeom>
                        </pic:spPr>
                      </pic:pic>
                    </a:graphicData>
                  </a:graphic>
                </wp:inline>
              </w:drawing>
            </w:r>
          </w:p>
          <w:p w:rsidR="001A6098" w:rsidRPr="003C2ED2" w:rsidRDefault="001A6098" w:rsidP="00152FB1">
            <w:pPr>
              <w:pStyle w:val="ListParagraph"/>
              <w:autoSpaceDE w:val="0"/>
              <w:autoSpaceDN w:val="0"/>
              <w:adjustRightInd w:val="0"/>
              <w:spacing w:before="120" w:after="120"/>
              <w:contextualSpacing w:val="0"/>
              <w:jc w:val="both"/>
              <w:rPr>
                <w:rFonts w:ascii="Times New Roman" w:hAnsi="Times New Roman" w:cs="Times New Roman"/>
                <w:b/>
                <w:sz w:val="20"/>
                <w:szCs w:val="20"/>
              </w:rPr>
            </w:pPr>
          </w:p>
        </w:tc>
        <w:tc>
          <w:tcPr>
            <w:tcW w:w="3330" w:type="dxa"/>
          </w:tcPr>
          <w:p w:rsidR="001A6098" w:rsidRPr="00241F35" w:rsidRDefault="001A6098" w:rsidP="00152FB1">
            <w:pPr>
              <w:pStyle w:val="ListParagraph"/>
              <w:autoSpaceDE w:val="0"/>
              <w:autoSpaceDN w:val="0"/>
              <w:adjustRightInd w:val="0"/>
              <w:spacing w:before="120" w:after="120"/>
              <w:ind w:left="72" w:right="154"/>
              <w:contextualSpacing w:val="0"/>
              <w:jc w:val="both"/>
              <w:rPr>
                <w:rFonts w:ascii="Times New Roman" w:hAnsi="Times New Roman" w:cs="Times New Roman"/>
                <w:b/>
                <w:sz w:val="20"/>
                <w:szCs w:val="20"/>
              </w:rPr>
            </w:pPr>
            <w:r w:rsidRPr="00241F35">
              <w:rPr>
                <w:rFonts w:ascii="Times New Roman" w:hAnsi="Times New Roman" w:cs="Times New Roman"/>
                <w:b/>
                <w:sz w:val="20"/>
                <w:szCs w:val="20"/>
              </w:rPr>
              <w:t xml:space="preserve">Act on behalf of the importer to clear goods through customs and deliver items to the warehouse or final destination </w:t>
            </w:r>
          </w:p>
          <w:p w:rsidR="001A6098" w:rsidRPr="00241F35" w:rsidRDefault="001A6098" w:rsidP="00152FB1">
            <w:pPr>
              <w:pStyle w:val="ListParagraph"/>
              <w:autoSpaceDE w:val="0"/>
              <w:autoSpaceDN w:val="0"/>
              <w:adjustRightInd w:val="0"/>
              <w:spacing w:before="120" w:after="120"/>
              <w:ind w:left="72" w:right="154"/>
              <w:contextualSpacing w:val="0"/>
              <w:jc w:val="both"/>
              <w:rPr>
                <w:rFonts w:ascii="Times New Roman" w:hAnsi="Times New Roman" w:cs="Times New Roman"/>
                <w:b/>
                <w:sz w:val="20"/>
                <w:szCs w:val="20"/>
              </w:rPr>
            </w:pPr>
            <w:r w:rsidRPr="00241F35">
              <w:rPr>
                <w:rFonts w:ascii="Times New Roman" w:hAnsi="Times New Roman" w:cs="Times New Roman"/>
                <w:b/>
                <w:sz w:val="20"/>
                <w:szCs w:val="20"/>
              </w:rPr>
              <w:t xml:space="preserve">Some freight forwarders are also customs brokers </w:t>
            </w:r>
          </w:p>
          <w:p w:rsidR="001A6098" w:rsidRPr="00241F35" w:rsidRDefault="001A6098" w:rsidP="00152FB1">
            <w:pPr>
              <w:pStyle w:val="ListParagraph"/>
              <w:autoSpaceDE w:val="0"/>
              <w:autoSpaceDN w:val="0"/>
              <w:adjustRightInd w:val="0"/>
              <w:spacing w:before="120" w:after="120"/>
              <w:ind w:left="72" w:right="154"/>
              <w:contextualSpacing w:val="0"/>
              <w:jc w:val="both"/>
              <w:rPr>
                <w:rFonts w:ascii="Times New Roman" w:hAnsi="Times New Roman" w:cs="Times New Roman"/>
                <w:b/>
                <w:sz w:val="20"/>
                <w:szCs w:val="20"/>
              </w:rPr>
            </w:pPr>
            <w:r w:rsidRPr="00241F35">
              <w:rPr>
                <w:rFonts w:ascii="Times New Roman" w:hAnsi="Times New Roman" w:cs="Times New Roman"/>
                <w:b/>
                <w:sz w:val="20"/>
                <w:szCs w:val="20"/>
              </w:rPr>
              <w:t>Are usually licensed by a government agency</w:t>
            </w:r>
          </w:p>
          <w:p w:rsidR="001A6098" w:rsidRPr="003C2ED2" w:rsidRDefault="001A6098" w:rsidP="00152FB1">
            <w:pPr>
              <w:pStyle w:val="ListParagraph"/>
              <w:autoSpaceDE w:val="0"/>
              <w:autoSpaceDN w:val="0"/>
              <w:adjustRightInd w:val="0"/>
              <w:spacing w:before="240" w:after="240"/>
              <w:ind w:left="0"/>
              <w:contextualSpacing w:val="0"/>
              <w:jc w:val="both"/>
              <w:rPr>
                <w:rFonts w:ascii="Times New Roman" w:hAnsi="Times New Roman" w:cs="Times New Roman"/>
                <w:b/>
                <w:sz w:val="20"/>
                <w:szCs w:val="20"/>
              </w:rPr>
            </w:pPr>
          </w:p>
        </w:tc>
      </w:tr>
    </w:tbl>
    <w:p w:rsidR="001A6098" w:rsidRDefault="001A6098" w:rsidP="001A6098">
      <w:pPr>
        <w:rPr>
          <w:rFonts w:ascii="Times New Roman" w:hAnsi="Times New Roman" w:cs="Times New Roman"/>
          <w:b/>
        </w:rPr>
      </w:pPr>
      <w:r>
        <w:rPr>
          <w:rFonts w:ascii="Times New Roman" w:hAnsi="Times New Roman" w:cs="Times New Roman"/>
          <w:b/>
        </w:rPr>
        <w:br w:type="page"/>
      </w:r>
    </w:p>
    <w:p w:rsidR="001A6098" w:rsidRPr="00804B51" w:rsidRDefault="001A6098" w:rsidP="001A6098">
      <w:pPr>
        <w:autoSpaceDE w:val="0"/>
        <w:autoSpaceDN w:val="0"/>
        <w:adjustRightInd w:val="0"/>
        <w:spacing w:before="120" w:after="120" w:line="240" w:lineRule="auto"/>
        <w:jc w:val="both"/>
        <w:rPr>
          <w:rFonts w:ascii="Times New Roman" w:hAnsi="Times New Roman" w:cs="Times New Roman"/>
          <w:sz w:val="24"/>
          <w:szCs w:val="24"/>
          <w:u w:val="single"/>
        </w:rPr>
      </w:pPr>
      <w:r w:rsidRPr="00804B51">
        <w:rPr>
          <w:rFonts w:ascii="Times New Roman" w:hAnsi="Times New Roman" w:cs="Times New Roman"/>
          <w:sz w:val="24"/>
          <w:szCs w:val="24"/>
          <w:u w:val="single"/>
        </w:rPr>
        <w:lastRenderedPageBreak/>
        <w:t>Shippers Defined: Responsibilities of an Exporter</w:t>
      </w:r>
    </w:p>
    <w:p w:rsidR="001A6098" w:rsidRPr="00DB790F" w:rsidRDefault="001A6098" w:rsidP="001A6098">
      <w:pPr>
        <w:autoSpaceDE w:val="0"/>
        <w:autoSpaceDN w:val="0"/>
        <w:adjustRightInd w:val="0"/>
        <w:spacing w:after="0" w:line="240" w:lineRule="auto"/>
        <w:jc w:val="both"/>
        <w:rPr>
          <w:rFonts w:ascii="Times New Roman" w:hAnsi="Times New Roman" w:cs="Times New Roman"/>
          <w:sz w:val="24"/>
          <w:szCs w:val="24"/>
        </w:rPr>
      </w:pPr>
      <w:r w:rsidRPr="000B4EEA">
        <w:rPr>
          <w:rFonts w:ascii="Times New Roman" w:hAnsi="Times New Roman" w:cs="Times New Roman"/>
          <w:noProof/>
          <w:sz w:val="24"/>
          <w:szCs w:val="24"/>
        </w:rPr>
        <w:drawing>
          <wp:anchor distT="0" distB="0" distL="114300" distR="114300" simplePos="0" relativeHeight="251659264" behindDoc="0" locked="0" layoutInCell="1" allowOverlap="1" wp14:anchorId="3AF90ACE" wp14:editId="7F2050EE">
            <wp:simplePos x="0" y="0"/>
            <wp:positionH relativeFrom="margin">
              <wp:posOffset>3324860</wp:posOffset>
            </wp:positionH>
            <wp:positionV relativeFrom="margin">
              <wp:posOffset>333375</wp:posOffset>
            </wp:positionV>
            <wp:extent cx="2614930" cy="1438275"/>
            <wp:effectExtent l="0" t="0" r="0" b="9525"/>
            <wp:wrapSquare wrapText="bothSides"/>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3"/>
                    <pic:cNvPicPr>
                      <a:picLocks noGrp="1" noChangeAspect="1"/>
                    </pic:cNvPicPr>
                  </pic:nvPicPr>
                  <pic:blipFill>
                    <a:blip r:embed="rId11" cstate="print">
                      <a:extLst>
                        <a:ext uri="{28A0092B-C50C-407E-A947-70E740481C1C}">
                          <a14:useLocalDpi xmlns:a14="http://schemas.microsoft.com/office/drawing/2010/main" val="0"/>
                        </a:ext>
                      </a:extLst>
                    </a:blip>
                    <a:srcRect t="5333" b="5333"/>
                    <a:stretch>
                      <a:fillRect/>
                    </a:stretch>
                  </pic:blipFill>
                  <pic:spPr>
                    <a:xfrm>
                      <a:off x="0" y="0"/>
                      <a:ext cx="2614930" cy="1438275"/>
                    </a:xfrm>
                    <a:prstGeom prst="rect">
                      <a:avLst/>
                    </a:prstGeom>
                  </pic:spPr>
                </pic:pic>
              </a:graphicData>
            </a:graphic>
            <wp14:sizeRelH relativeFrom="margin">
              <wp14:pctWidth>0</wp14:pctWidth>
            </wp14:sizeRelH>
            <wp14:sizeRelV relativeFrom="margin">
              <wp14:pctHeight>0</wp14:pctHeight>
            </wp14:sizeRelV>
          </wp:anchor>
        </w:drawing>
      </w:r>
    </w:p>
    <w:p w:rsidR="001A6098" w:rsidRPr="00DB790F" w:rsidRDefault="001A6098" w:rsidP="001A6098">
      <w:pPr>
        <w:autoSpaceDE w:val="0"/>
        <w:autoSpaceDN w:val="0"/>
        <w:adjustRightInd w:val="0"/>
        <w:spacing w:after="0" w:line="240" w:lineRule="auto"/>
        <w:jc w:val="both"/>
        <w:rPr>
          <w:rFonts w:ascii="Times New Roman" w:hAnsi="Times New Roman" w:cs="Times New Roman"/>
          <w:sz w:val="24"/>
          <w:szCs w:val="24"/>
        </w:rPr>
      </w:pPr>
      <w:r w:rsidRPr="00DB790F">
        <w:rPr>
          <w:rFonts w:ascii="Times New Roman" w:hAnsi="Times New Roman" w:cs="Times New Roman"/>
          <w:sz w:val="24"/>
          <w:szCs w:val="24"/>
        </w:rPr>
        <w:t xml:space="preserve">Many countries have adopted Internal Compliance Program (ICP) for exporters. An ICP is based on a corporate philosophy that says: "We want to maximize sales while also ensuring that we abide by all governmental regulations and laws and the strategic trade control standards of the international community." </w:t>
      </w:r>
    </w:p>
    <w:p w:rsidR="001A6098" w:rsidRPr="00DB790F" w:rsidRDefault="001A6098" w:rsidP="001A6098">
      <w:pPr>
        <w:autoSpaceDE w:val="0"/>
        <w:autoSpaceDN w:val="0"/>
        <w:adjustRightInd w:val="0"/>
        <w:spacing w:after="0" w:line="240" w:lineRule="auto"/>
        <w:jc w:val="both"/>
        <w:rPr>
          <w:rFonts w:ascii="Times New Roman" w:hAnsi="Times New Roman" w:cs="Times New Roman"/>
          <w:sz w:val="24"/>
          <w:szCs w:val="24"/>
        </w:rPr>
      </w:pPr>
    </w:p>
    <w:p w:rsidR="001A6098" w:rsidRPr="00DB790F" w:rsidRDefault="001A6098" w:rsidP="001A6098">
      <w:pPr>
        <w:autoSpaceDE w:val="0"/>
        <w:autoSpaceDN w:val="0"/>
        <w:adjustRightInd w:val="0"/>
        <w:spacing w:after="0" w:line="240" w:lineRule="auto"/>
        <w:jc w:val="both"/>
        <w:rPr>
          <w:rFonts w:ascii="Times New Roman" w:hAnsi="Times New Roman" w:cs="Times New Roman"/>
          <w:sz w:val="24"/>
          <w:szCs w:val="24"/>
        </w:rPr>
      </w:pPr>
      <w:r w:rsidRPr="00DB790F">
        <w:rPr>
          <w:rFonts w:ascii="Times New Roman" w:hAnsi="Times New Roman" w:cs="Times New Roman"/>
          <w:sz w:val="24"/>
          <w:szCs w:val="24"/>
        </w:rPr>
        <w:t xml:space="preserve">Every enterprise that exports goods and services can establish an ICP to ensure that its actions do not violate the government's strategic trade control laws and regulations. </w:t>
      </w:r>
    </w:p>
    <w:p w:rsidR="001A6098" w:rsidRPr="00DB790F" w:rsidRDefault="001A6098" w:rsidP="001A6098">
      <w:pPr>
        <w:autoSpaceDE w:val="0"/>
        <w:autoSpaceDN w:val="0"/>
        <w:adjustRightInd w:val="0"/>
        <w:spacing w:after="0" w:line="240" w:lineRule="auto"/>
        <w:jc w:val="both"/>
        <w:rPr>
          <w:rFonts w:ascii="Times New Roman" w:hAnsi="Times New Roman" w:cs="Times New Roman"/>
          <w:b/>
          <w:sz w:val="24"/>
          <w:szCs w:val="24"/>
        </w:rPr>
      </w:pPr>
    </w:p>
    <w:p w:rsidR="001A6098" w:rsidRPr="00DB790F" w:rsidRDefault="001A6098" w:rsidP="001A6098">
      <w:pPr>
        <w:autoSpaceDE w:val="0"/>
        <w:autoSpaceDN w:val="0"/>
        <w:adjustRightInd w:val="0"/>
        <w:spacing w:after="0" w:line="240" w:lineRule="auto"/>
        <w:jc w:val="both"/>
        <w:rPr>
          <w:rFonts w:ascii="Times New Roman" w:hAnsi="Times New Roman" w:cs="Times New Roman"/>
          <w:b/>
          <w:sz w:val="24"/>
          <w:szCs w:val="24"/>
        </w:rPr>
      </w:pPr>
      <w:r w:rsidRPr="00DB790F">
        <w:rPr>
          <w:rFonts w:ascii="Times New Roman" w:hAnsi="Times New Roman" w:cs="Times New Roman"/>
          <w:b/>
          <w:sz w:val="24"/>
          <w:szCs w:val="24"/>
        </w:rPr>
        <w:t xml:space="preserve">Responsibilities of the exporter with regards to strategic trade controls are to: </w:t>
      </w:r>
    </w:p>
    <w:p w:rsidR="001A6098" w:rsidRPr="00DB790F" w:rsidRDefault="001A6098" w:rsidP="001A6098">
      <w:pPr>
        <w:pStyle w:val="ListParagraph"/>
        <w:numPr>
          <w:ilvl w:val="0"/>
          <w:numId w:val="4"/>
        </w:numPr>
        <w:autoSpaceDE w:val="0"/>
        <w:autoSpaceDN w:val="0"/>
        <w:adjustRightInd w:val="0"/>
        <w:spacing w:before="240" w:after="120" w:line="240" w:lineRule="auto"/>
        <w:contextualSpacing w:val="0"/>
        <w:jc w:val="both"/>
        <w:rPr>
          <w:rFonts w:ascii="Times New Roman" w:hAnsi="Times New Roman" w:cs="Times New Roman"/>
          <w:sz w:val="24"/>
          <w:szCs w:val="24"/>
        </w:rPr>
      </w:pPr>
      <w:r w:rsidRPr="00DB790F">
        <w:rPr>
          <w:rFonts w:ascii="Times New Roman" w:hAnsi="Times New Roman" w:cs="Times New Roman"/>
          <w:sz w:val="24"/>
          <w:szCs w:val="24"/>
        </w:rPr>
        <w:t xml:space="preserve">Determine commodity classification of the item(s) to be shipped </w:t>
      </w:r>
    </w:p>
    <w:p w:rsidR="001A6098" w:rsidRDefault="001A6098" w:rsidP="001A6098">
      <w:pPr>
        <w:pStyle w:val="ListParagraph"/>
        <w:numPr>
          <w:ilvl w:val="0"/>
          <w:numId w:val="4"/>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DB790F">
        <w:rPr>
          <w:rFonts w:ascii="Times New Roman" w:hAnsi="Times New Roman" w:cs="Times New Roman"/>
          <w:sz w:val="24"/>
          <w:szCs w:val="24"/>
        </w:rPr>
        <w:t xml:space="preserve">Determine whether the item requires an export license or if it can be exported under a license exception </w:t>
      </w:r>
    </w:p>
    <w:p w:rsidR="001A6098" w:rsidRPr="00DB790F" w:rsidRDefault="001A6098" w:rsidP="001A6098">
      <w:pPr>
        <w:pStyle w:val="ListParagraph"/>
        <w:numPr>
          <w:ilvl w:val="0"/>
          <w:numId w:val="4"/>
        </w:numPr>
        <w:autoSpaceDE w:val="0"/>
        <w:autoSpaceDN w:val="0"/>
        <w:adjustRightInd w:val="0"/>
        <w:spacing w:before="120" w:after="12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Conduct end-use/end-user screening</w:t>
      </w:r>
    </w:p>
    <w:p w:rsidR="001A6098" w:rsidRPr="00DB790F" w:rsidRDefault="001A6098" w:rsidP="001A6098">
      <w:pPr>
        <w:pStyle w:val="ListParagraph"/>
        <w:numPr>
          <w:ilvl w:val="0"/>
          <w:numId w:val="4"/>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DB790F">
        <w:rPr>
          <w:rFonts w:ascii="Times New Roman" w:hAnsi="Times New Roman" w:cs="Times New Roman"/>
          <w:sz w:val="24"/>
          <w:szCs w:val="24"/>
        </w:rPr>
        <w:t xml:space="preserve">Submit complete and accurate license application to the appropriate government authority </w:t>
      </w:r>
    </w:p>
    <w:p w:rsidR="001A6098" w:rsidRPr="00DB790F" w:rsidRDefault="001A6098" w:rsidP="001A6098">
      <w:pPr>
        <w:pStyle w:val="ListParagraph"/>
        <w:numPr>
          <w:ilvl w:val="0"/>
          <w:numId w:val="4"/>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DB790F">
        <w:rPr>
          <w:rFonts w:ascii="Times New Roman" w:hAnsi="Times New Roman" w:cs="Times New Roman"/>
          <w:sz w:val="24"/>
          <w:szCs w:val="24"/>
        </w:rPr>
        <w:t xml:space="preserve">Accurately complete the export documentation </w:t>
      </w:r>
    </w:p>
    <w:p w:rsidR="001A6098" w:rsidRPr="00DB790F" w:rsidRDefault="001A6098" w:rsidP="001A6098">
      <w:pPr>
        <w:pStyle w:val="ListParagraph"/>
        <w:numPr>
          <w:ilvl w:val="0"/>
          <w:numId w:val="4"/>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DB790F">
        <w:rPr>
          <w:rFonts w:ascii="Times New Roman" w:hAnsi="Times New Roman" w:cs="Times New Roman"/>
          <w:sz w:val="24"/>
          <w:szCs w:val="24"/>
        </w:rPr>
        <w:t>Maintain records as maintained by national l</w:t>
      </w:r>
      <w:r>
        <w:rPr>
          <w:rFonts w:ascii="Times New Roman" w:hAnsi="Times New Roman" w:cs="Times New Roman"/>
          <w:sz w:val="24"/>
          <w:szCs w:val="24"/>
        </w:rPr>
        <w:t>egislation</w:t>
      </w:r>
    </w:p>
    <w:p w:rsidR="001A6098" w:rsidRDefault="001A6098" w:rsidP="001A6098">
      <w:pPr>
        <w:rPr>
          <w:rFonts w:ascii="Times New Roman" w:hAnsi="Times New Roman" w:cs="Times New Roman"/>
        </w:rPr>
      </w:pPr>
      <w:r>
        <w:rPr>
          <w:rFonts w:ascii="Times New Roman" w:hAnsi="Times New Roman" w:cs="Times New Roman"/>
        </w:rPr>
        <w:br w:type="page"/>
      </w:r>
    </w:p>
    <w:p w:rsidR="001A6098" w:rsidRPr="00804B51" w:rsidRDefault="001A6098" w:rsidP="001A6098">
      <w:pPr>
        <w:autoSpaceDE w:val="0"/>
        <w:autoSpaceDN w:val="0"/>
        <w:adjustRightInd w:val="0"/>
        <w:spacing w:after="0" w:line="240" w:lineRule="auto"/>
        <w:jc w:val="both"/>
        <w:rPr>
          <w:rFonts w:ascii="Times New Roman" w:hAnsi="Times New Roman" w:cs="Times New Roman"/>
          <w:sz w:val="24"/>
          <w:szCs w:val="24"/>
          <w:u w:val="single"/>
        </w:rPr>
      </w:pPr>
      <w:r w:rsidRPr="00804B51">
        <w:rPr>
          <w:rFonts w:ascii="Times New Roman" w:hAnsi="Times New Roman" w:cs="Times New Roman"/>
          <w:sz w:val="24"/>
          <w:szCs w:val="24"/>
          <w:u w:val="single"/>
        </w:rPr>
        <w:lastRenderedPageBreak/>
        <w:t>Shippers Defined: Responsibilities of a Shipper</w:t>
      </w:r>
    </w:p>
    <w:p w:rsidR="001A6098" w:rsidRPr="00DB790F" w:rsidRDefault="001A6098" w:rsidP="001A6098">
      <w:pPr>
        <w:autoSpaceDE w:val="0"/>
        <w:autoSpaceDN w:val="0"/>
        <w:adjustRightInd w:val="0"/>
        <w:spacing w:after="0" w:line="240" w:lineRule="auto"/>
        <w:jc w:val="both"/>
        <w:rPr>
          <w:rFonts w:ascii="Times New Roman" w:hAnsi="Times New Roman" w:cs="Times New Roman"/>
          <w:sz w:val="24"/>
          <w:szCs w:val="24"/>
        </w:rPr>
      </w:pPr>
    </w:p>
    <w:p w:rsidR="001A6098" w:rsidRPr="009E20BF" w:rsidRDefault="001A6098" w:rsidP="001A6098">
      <w:pPr>
        <w:autoSpaceDE w:val="0"/>
        <w:autoSpaceDN w:val="0"/>
        <w:adjustRightInd w:val="0"/>
        <w:spacing w:after="0" w:line="240" w:lineRule="auto"/>
        <w:jc w:val="both"/>
        <w:rPr>
          <w:rFonts w:ascii="Times New Roman" w:hAnsi="Times New Roman" w:cs="Times New Roman"/>
          <w:sz w:val="24"/>
          <w:szCs w:val="24"/>
        </w:rPr>
      </w:pPr>
      <w:r w:rsidRPr="00DB790F">
        <w:rPr>
          <w:rFonts w:ascii="Times New Roman" w:hAnsi="Times New Roman" w:cs="Times New Roman"/>
          <w:sz w:val="24"/>
          <w:szCs w:val="24"/>
        </w:rPr>
        <w:t>U</w:t>
      </w:r>
      <w:r>
        <w:rPr>
          <w:rFonts w:ascii="Times New Roman" w:hAnsi="Times New Roman" w:cs="Times New Roman"/>
          <w:sz w:val="24"/>
          <w:szCs w:val="24"/>
        </w:rPr>
        <w:t>nited Nations Security Council Resolution (U</w:t>
      </w:r>
      <w:r w:rsidRPr="00DB790F">
        <w:rPr>
          <w:rFonts w:ascii="Times New Roman" w:hAnsi="Times New Roman" w:cs="Times New Roman"/>
          <w:sz w:val="24"/>
          <w:szCs w:val="24"/>
        </w:rPr>
        <w:t>NSCR</w:t>
      </w:r>
      <w:r>
        <w:rPr>
          <w:rFonts w:ascii="Times New Roman" w:hAnsi="Times New Roman" w:cs="Times New Roman"/>
          <w:sz w:val="24"/>
          <w:szCs w:val="24"/>
        </w:rPr>
        <w:t>)</w:t>
      </w:r>
      <w:r w:rsidRPr="00DB790F">
        <w:rPr>
          <w:rFonts w:ascii="Times New Roman" w:hAnsi="Times New Roman" w:cs="Times New Roman"/>
          <w:sz w:val="24"/>
          <w:szCs w:val="24"/>
        </w:rPr>
        <w:t xml:space="preserve"> 1540 states that in order to stem </w:t>
      </w:r>
      <w:r>
        <w:rPr>
          <w:rFonts w:ascii="Times New Roman" w:hAnsi="Times New Roman" w:cs="Times New Roman"/>
          <w:sz w:val="24"/>
          <w:szCs w:val="24"/>
        </w:rPr>
        <w:t xml:space="preserve">the </w:t>
      </w:r>
      <w:r w:rsidRPr="00DB790F">
        <w:rPr>
          <w:rFonts w:ascii="Times New Roman" w:hAnsi="Times New Roman" w:cs="Times New Roman"/>
          <w:sz w:val="24"/>
          <w:szCs w:val="24"/>
        </w:rPr>
        <w:t xml:space="preserve">proliferation of sensitive items, a country needs to establish, develop, review, and maintain appropriate effective national export/transit controls. In addition, the country has to establish and enforce appropriate </w:t>
      </w:r>
      <w:r w:rsidRPr="009E20BF">
        <w:rPr>
          <w:rFonts w:ascii="Times New Roman" w:hAnsi="Times New Roman" w:cs="Times New Roman"/>
          <w:b/>
          <w:sz w:val="24"/>
          <w:szCs w:val="24"/>
        </w:rPr>
        <w:t>criminal or civil penalties for violations of strategic trade control laws</w:t>
      </w:r>
      <w:r w:rsidRPr="00DB790F">
        <w:rPr>
          <w:rFonts w:ascii="Times New Roman" w:hAnsi="Times New Roman" w:cs="Times New Roman"/>
          <w:sz w:val="24"/>
          <w:szCs w:val="24"/>
        </w:rPr>
        <w:t xml:space="preserve"> and regulations.</w:t>
      </w:r>
      <w:r>
        <w:rPr>
          <w:rFonts w:ascii="Times New Roman" w:hAnsi="Times New Roman" w:cs="Times New Roman"/>
          <w:sz w:val="24"/>
          <w:szCs w:val="24"/>
        </w:rPr>
        <w:t xml:space="preserve"> Below are several examples of transit controls and penalties for acts of non-</w:t>
      </w:r>
      <w:r w:rsidRPr="009E20BF">
        <w:rPr>
          <w:rFonts w:ascii="Times New Roman" w:hAnsi="Times New Roman" w:cs="Times New Roman"/>
          <w:sz w:val="24"/>
          <w:szCs w:val="24"/>
        </w:rPr>
        <w:t>compliance.</w:t>
      </w:r>
    </w:p>
    <w:p w:rsidR="001A6098" w:rsidRDefault="001A6098" w:rsidP="001A6098">
      <w:pPr>
        <w:autoSpaceDE w:val="0"/>
        <w:autoSpaceDN w:val="0"/>
        <w:adjustRightInd w:val="0"/>
        <w:spacing w:after="0" w:line="240" w:lineRule="auto"/>
        <w:jc w:val="both"/>
        <w:rPr>
          <w:rFonts w:ascii="Times New Roman" w:hAnsi="Times New Roman" w:cs="Times New Roman"/>
          <w:u w:val="single"/>
        </w:rPr>
      </w:pPr>
    </w:p>
    <w:p w:rsidR="001A6098" w:rsidRPr="009E20BF" w:rsidRDefault="001A6098" w:rsidP="001A6098">
      <w:pPr>
        <w:autoSpaceDE w:val="0"/>
        <w:autoSpaceDN w:val="0"/>
        <w:adjustRightInd w:val="0"/>
        <w:spacing w:after="0" w:line="240" w:lineRule="auto"/>
        <w:jc w:val="both"/>
        <w:rPr>
          <w:rFonts w:ascii="Times New Roman" w:hAnsi="Times New Roman" w:cs="Times New Roman"/>
          <w:u w:val="single"/>
        </w:rPr>
      </w:pPr>
    </w:p>
    <w:p w:rsidR="001A6098" w:rsidRPr="00922A48" w:rsidRDefault="001A6098" w:rsidP="001A6098">
      <w:pPr>
        <w:autoSpaceDE w:val="0"/>
        <w:autoSpaceDN w:val="0"/>
        <w:adjustRightInd w:val="0"/>
        <w:spacing w:after="0" w:line="240" w:lineRule="auto"/>
        <w:jc w:val="both"/>
        <w:rPr>
          <w:rFonts w:ascii="Times New Roman" w:hAnsi="Times New Roman" w:cs="Times New Roman"/>
          <w:b/>
          <w:sz w:val="24"/>
          <w:szCs w:val="24"/>
        </w:rPr>
      </w:pPr>
      <w:r w:rsidRPr="00922A48">
        <w:rPr>
          <w:rFonts w:ascii="Times New Roman" w:hAnsi="Times New Roman" w:cs="Times New Roman"/>
          <w:b/>
          <w:sz w:val="24"/>
          <w:szCs w:val="24"/>
        </w:rPr>
        <w:t>United States</w:t>
      </w:r>
      <w:r w:rsidRPr="00922A48">
        <w:rPr>
          <w:rFonts w:ascii="Times New Roman" w:hAnsi="Times New Roman" w:cs="Times New Roman"/>
          <w:b/>
          <w:noProof/>
          <w:sz w:val="24"/>
          <w:szCs w:val="24"/>
        </w:rPr>
        <w:t xml:space="preserve"> </w:t>
      </w:r>
    </w:p>
    <w:p w:rsidR="001A6098" w:rsidRPr="00922A48" w:rsidRDefault="001A6098" w:rsidP="001A6098">
      <w:pPr>
        <w:autoSpaceDE w:val="0"/>
        <w:autoSpaceDN w:val="0"/>
        <w:adjustRightInd w:val="0"/>
        <w:spacing w:before="180" w:after="0" w:line="240" w:lineRule="auto"/>
        <w:jc w:val="both"/>
        <w:rPr>
          <w:rFonts w:ascii="Times New Roman" w:hAnsi="Times New Roman" w:cs="Times New Roman"/>
          <w:sz w:val="24"/>
          <w:szCs w:val="24"/>
        </w:rPr>
      </w:pPr>
      <w:r w:rsidRPr="00922A48">
        <w:rPr>
          <w:rFonts w:ascii="Times New Roman" w:hAnsi="Times New Roman" w:cs="Times New Roman"/>
          <w:b/>
          <w:noProof/>
          <w:color w:val="0070C0"/>
          <w:sz w:val="24"/>
          <w:szCs w:val="24"/>
        </w:rPr>
        <w:drawing>
          <wp:anchor distT="0" distB="0" distL="114300" distR="114300" simplePos="0" relativeHeight="251663360" behindDoc="0" locked="0" layoutInCell="1" allowOverlap="1" wp14:anchorId="15CDC156" wp14:editId="117EB1EC">
            <wp:simplePos x="0" y="0"/>
            <wp:positionH relativeFrom="margin">
              <wp:posOffset>4549775</wp:posOffset>
            </wp:positionH>
            <wp:positionV relativeFrom="margin">
              <wp:posOffset>2423795</wp:posOffset>
            </wp:positionV>
            <wp:extent cx="1360805" cy="911225"/>
            <wp:effectExtent l="19050" t="19050" r="10795" b="222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flags.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0805" cy="9112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22A48">
        <w:rPr>
          <w:rFonts w:ascii="Times New Roman" w:hAnsi="Times New Roman" w:cs="Times New Roman"/>
          <w:sz w:val="24"/>
          <w:szCs w:val="24"/>
        </w:rPr>
        <w:t>The U.S. Export Administration Regulations (EAR) places legal responsibility on all persons who have information, authority, or functions relevant to carrying out export transactions subject to the EAR.</w:t>
      </w:r>
    </w:p>
    <w:p w:rsidR="001A6098" w:rsidRPr="00922A48" w:rsidRDefault="001A6098" w:rsidP="001A6098">
      <w:pPr>
        <w:pStyle w:val="ListParagraph"/>
        <w:numPr>
          <w:ilvl w:val="0"/>
          <w:numId w:val="35"/>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922A48">
        <w:rPr>
          <w:rFonts w:ascii="Times New Roman" w:hAnsi="Times New Roman" w:cs="Times New Roman"/>
          <w:sz w:val="24"/>
          <w:szCs w:val="24"/>
        </w:rPr>
        <w:t>Forwarding agents may have compliance responsibilities under the EAR even when their actions are dependent upon information or instruction given by those who use his/her services.</w:t>
      </w:r>
    </w:p>
    <w:p w:rsidR="001A6098" w:rsidRPr="00922A48" w:rsidRDefault="001A6098" w:rsidP="001A6098">
      <w:pPr>
        <w:pStyle w:val="ListParagraph"/>
        <w:numPr>
          <w:ilvl w:val="0"/>
          <w:numId w:val="35"/>
        </w:numPr>
        <w:autoSpaceDE w:val="0"/>
        <w:autoSpaceDN w:val="0"/>
        <w:adjustRightInd w:val="0"/>
        <w:spacing w:before="120" w:after="120" w:line="240" w:lineRule="auto"/>
        <w:contextualSpacing w:val="0"/>
        <w:jc w:val="both"/>
        <w:rPr>
          <w:rFonts w:ascii="Times New Roman" w:hAnsi="Times New Roman" w:cs="Times New Roman"/>
          <w:sz w:val="24"/>
          <w:szCs w:val="24"/>
        </w:rPr>
      </w:pPr>
      <w:r w:rsidRPr="00922A48">
        <w:rPr>
          <w:rFonts w:ascii="Times New Roman" w:hAnsi="Times New Roman" w:cs="Times New Roman"/>
          <w:sz w:val="24"/>
          <w:szCs w:val="24"/>
        </w:rPr>
        <w:t>Under the EAR, misrepresentations and false statements on export documents can result in penalties up to $125,000 to $250,000 per offense (depending on whether or not the violation is voluntarily disclosed).</w:t>
      </w:r>
    </w:p>
    <w:p w:rsidR="001A6098" w:rsidRPr="004B07F5" w:rsidRDefault="001A6098" w:rsidP="001A6098">
      <w:pPr>
        <w:autoSpaceDE w:val="0"/>
        <w:autoSpaceDN w:val="0"/>
        <w:adjustRightInd w:val="0"/>
        <w:spacing w:after="0" w:line="240" w:lineRule="auto"/>
        <w:jc w:val="both"/>
        <w:rPr>
          <w:rFonts w:ascii="Times New Roman" w:hAnsi="Times New Roman" w:cs="Times New Roman"/>
          <w:i/>
          <w:sz w:val="24"/>
          <w:szCs w:val="24"/>
          <w:highlight w:val="yellow"/>
        </w:rPr>
      </w:pPr>
    </w:p>
    <w:p w:rsidR="001A6098" w:rsidRPr="00922A48" w:rsidRDefault="001A6098" w:rsidP="001A6098">
      <w:pPr>
        <w:autoSpaceDE w:val="0"/>
        <w:autoSpaceDN w:val="0"/>
        <w:adjustRightInd w:val="0"/>
        <w:spacing w:after="0" w:line="240" w:lineRule="auto"/>
        <w:jc w:val="both"/>
        <w:rPr>
          <w:rFonts w:ascii="Times New Roman" w:hAnsi="Times New Roman" w:cs="Times New Roman"/>
          <w:i/>
          <w:sz w:val="24"/>
          <w:szCs w:val="24"/>
          <w:highlight w:val="yellow"/>
        </w:rPr>
      </w:pPr>
    </w:p>
    <w:p w:rsidR="001A6098" w:rsidRPr="00922A48" w:rsidRDefault="001A6098" w:rsidP="001A6098">
      <w:pPr>
        <w:autoSpaceDE w:val="0"/>
        <w:autoSpaceDN w:val="0"/>
        <w:adjustRightInd w:val="0"/>
        <w:spacing w:after="0" w:line="240" w:lineRule="auto"/>
        <w:jc w:val="both"/>
        <w:rPr>
          <w:rFonts w:ascii="Times New Roman" w:hAnsi="Times New Roman" w:cs="Times New Roman"/>
          <w:b/>
          <w:sz w:val="24"/>
          <w:szCs w:val="24"/>
        </w:rPr>
      </w:pPr>
      <w:r w:rsidRPr="00922A48">
        <w:rPr>
          <w:rFonts w:ascii="Times New Roman" w:hAnsi="Times New Roman" w:cs="Times New Roman"/>
          <w:b/>
          <w:sz w:val="24"/>
          <w:szCs w:val="24"/>
        </w:rPr>
        <w:t>Japan</w:t>
      </w:r>
    </w:p>
    <w:p w:rsidR="001A6098" w:rsidRPr="00922A48" w:rsidRDefault="001A6098" w:rsidP="001A6098">
      <w:pPr>
        <w:autoSpaceDE w:val="0"/>
        <w:autoSpaceDN w:val="0"/>
        <w:adjustRightInd w:val="0"/>
        <w:spacing w:before="120" w:after="0" w:line="240" w:lineRule="auto"/>
        <w:jc w:val="both"/>
        <w:rPr>
          <w:rFonts w:ascii="Times New Roman" w:hAnsi="Times New Roman" w:cs="Times New Roman"/>
          <w:bCs/>
          <w:sz w:val="24"/>
          <w:szCs w:val="24"/>
        </w:rPr>
      </w:pPr>
      <w:r w:rsidRPr="00922A48">
        <w:rPr>
          <w:rFonts w:ascii="Times New Roman" w:hAnsi="Times New Roman" w:cs="Times New Roman"/>
          <w:b/>
          <w:bCs/>
          <w:noProof/>
          <w:sz w:val="24"/>
          <w:szCs w:val="24"/>
        </w:rPr>
        <w:drawing>
          <wp:anchor distT="0" distB="0" distL="114300" distR="114300" simplePos="0" relativeHeight="251664384" behindDoc="0" locked="0" layoutInCell="1" allowOverlap="1" wp14:anchorId="447C6E9F" wp14:editId="74AC92F7">
            <wp:simplePos x="0" y="0"/>
            <wp:positionH relativeFrom="margin">
              <wp:posOffset>4543425</wp:posOffset>
            </wp:positionH>
            <wp:positionV relativeFrom="margin">
              <wp:posOffset>4578350</wp:posOffset>
            </wp:positionV>
            <wp:extent cx="1360805" cy="923925"/>
            <wp:effectExtent l="19050" t="19050" r="10795" b="2857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flag.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60805" cy="9239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22A48">
        <w:rPr>
          <w:rFonts w:ascii="Times New Roman" w:hAnsi="Times New Roman" w:cs="Times New Roman"/>
          <w:bCs/>
          <w:iCs/>
          <w:sz w:val="24"/>
          <w:szCs w:val="24"/>
        </w:rPr>
        <w:t xml:space="preserve">Japan’s </w:t>
      </w:r>
      <w:r w:rsidRPr="00922A48">
        <w:rPr>
          <w:rFonts w:ascii="Times New Roman" w:hAnsi="Times New Roman" w:cs="Times New Roman"/>
          <w:bCs/>
          <w:i/>
          <w:iCs/>
          <w:sz w:val="24"/>
          <w:szCs w:val="24"/>
        </w:rPr>
        <w:t>Foreign Exchange and Foreign Trade Act</w:t>
      </w:r>
      <w:r w:rsidRPr="00922A48">
        <w:rPr>
          <w:rFonts w:ascii="Times New Roman" w:hAnsi="Times New Roman" w:cs="Times New Roman"/>
          <w:bCs/>
          <w:sz w:val="24"/>
          <w:szCs w:val="24"/>
        </w:rPr>
        <w:t xml:space="preserve"> stipulates specific penalties for strategic trade control violations, including the unauthorized transit of strategic items.</w:t>
      </w:r>
    </w:p>
    <w:p w:rsidR="001A6098" w:rsidRPr="00922A48" w:rsidRDefault="001A6098" w:rsidP="001A6098">
      <w:pPr>
        <w:pStyle w:val="ListParagraph"/>
        <w:numPr>
          <w:ilvl w:val="0"/>
          <w:numId w:val="34"/>
        </w:numPr>
        <w:autoSpaceDE w:val="0"/>
        <w:autoSpaceDN w:val="0"/>
        <w:adjustRightInd w:val="0"/>
        <w:spacing w:before="120" w:after="120" w:line="240" w:lineRule="auto"/>
        <w:contextualSpacing w:val="0"/>
        <w:jc w:val="both"/>
        <w:rPr>
          <w:rFonts w:ascii="Times New Roman" w:hAnsi="Times New Roman" w:cs="Times New Roman"/>
          <w:b/>
          <w:bCs/>
          <w:sz w:val="24"/>
          <w:szCs w:val="24"/>
        </w:rPr>
      </w:pPr>
      <w:r w:rsidRPr="00922A48">
        <w:rPr>
          <w:rFonts w:ascii="Times New Roman" w:hAnsi="Times New Roman" w:cs="Times New Roman"/>
          <w:bCs/>
          <w:sz w:val="24"/>
          <w:szCs w:val="24"/>
        </w:rPr>
        <w:t>Penalties violations involving WMD proliferation can include prison terms up to</w:t>
      </w:r>
      <w:r w:rsidRPr="00922A48">
        <w:rPr>
          <w:rFonts w:ascii="Times New Roman" w:hAnsi="Times New Roman" w:cs="Times New Roman"/>
          <w:b/>
          <w:bCs/>
          <w:sz w:val="24"/>
          <w:szCs w:val="24"/>
        </w:rPr>
        <w:t xml:space="preserve"> 10 years</w:t>
      </w:r>
    </w:p>
    <w:p w:rsidR="001A6098" w:rsidRPr="00922A48" w:rsidRDefault="001A6098" w:rsidP="001A6098">
      <w:pPr>
        <w:pStyle w:val="ListParagraph"/>
        <w:numPr>
          <w:ilvl w:val="0"/>
          <w:numId w:val="34"/>
        </w:numPr>
        <w:autoSpaceDE w:val="0"/>
        <w:autoSpaceDN w:val="0"/>
        <w:adjustRightInd w:val="0"/>
        <w:spacing w:before="120" w:after="120" w:line="240" w:lineRule="auto"/>
        <w:contextualSpacing w:val="0"/>
        <w:jc w:val="both"/>
        <w:rPr>
          <w:rFonts w:ascii="Times New Roman" w:hAnsi="Times New Roman" w:cs="Times New Roman"/>
          <w:b/>
          <w:bCs/>
          <w:sz w:val="24"/>
          <w:szCs w:val="24"/>
        </w:rPr>
      </w:pPr>
      <w:r w:rsidRPr="00922A48">
        <w:rPr>
          <w:rFonts w:ascii="Times New Roman" w:hAnsi="Times New Roman" w:cs="Times New Roman"/>
          <w:bCs/>
          <w:sz w:val="24"/>
          <w:szCs w:val="24"/>
        </w:rPr>
        <w:t xml:space="preserve">Penalties for violations not related to WMD proliferation can result in prison terms of up to </w:t>
      </w:r>
      <w:r w:rsidRPr="00922A48">
        <w:rPr>
          <w:rFonts w:ascii="Times New Roman" w:hAnsi="Times New Roman" w:cs="Times New Roman"/>
          <w:b/>
          <w:bCs/>
          <w:sz w:val="24"/>
          <w:szCs w:val="24"/>
        </w:rPr>
        <w:t>7 years</w:t>
      </w:r>
    </w:p>
    <w:p w:rsidR="001A6098" w:rsidRPr="004B07F5" w:rsidRDefault="001A6098" w:rsidP="001A6098">
      <w:pPr>
        <w:autoSpaceDE w:val="0"/>
        <w:autoSpaceDN w:val="0"/>
        <w:adjustRightInd w:val="0"/>
        <w:spacing w:after="0" w:line="240" w:lineRule="auto"/>
        <w:jc w:val="both"/>
        <w:rPr>
          <w:rFonts w:ascii="Times New Roman" w:hAnsi="Times New Roman" w:cs="Times New Roman"/>
          <w:b/>
          <w:bCs/>
          <w:sz w:val="24"/>
          <w:szCs w:val="24"/>
        </w:rPr>
      </w:pPr>
    </w:p>
    <w:p w:rsidR="001A6098" w:rsidRPr="004B07F5" w:rsidRDefault="001A6098" w:rsidP="001A6098">
      <w:pPr>
        <w:autoSpaceDE w:val="0"/>
        <w:autoSpaceDN w:val="0"/>
        <w:adjustRightInd w:val="0"/>
        <w:spacing w:after="0" w:line="240" w:lineRule="auto"/>
        <w:jc w:val="both"/>
        <w:rPr>
          <w:rFonts w:ascii="Times New Roman" w:hAnsi="Times New Roman" w:cs="Times New Roman"/>
          <w:b/>
          <w:bCs/>
          <w:sz w:val="24"/>
          <w:szCs w:val="24"/>
        </w:rPr>
      </w:pPr>
    </w:p>
    <w:p w:rsidR="001A6098" w:rsidRPr="00922A48" w:rsidRDefault="001A6098" w:rsidP="001A6098">
      <w:pPr>
        <w:autoSpaceDE w:val="0"/>
        <w:autoSpaceDN w:val="0"/>
        <w:adjustRightInd w:val="0"/>
        <w:spacing w:after="0" w:line="240" w:lineRule="auto"/>
        <w:jc w:val="both"/>
        <w:rPr>
          <w:rFonts w:ascii="Times New Roman" w:hAnsi="Times New Roman" w:cs="Times New Roman"/>
          <w:b/>
          <w:bCs/>
          <w:sz w:val="24"/>
          <w:szCs w:val="24"/>
        </w:rPr>
      </w:pPr>
      <w:r w:rsidRPr="00922A48">
        <w:rPr>
          <w:rFonts w:ascii="Times New Roman" w:hAnsi="Times New Roman" w:cs="Times New Roman"/>
          <w:b/>
          <w:bCs/>
          <w:sz w:val="24"/>
          <w:szCs w:val="24"/>
        </w:rPr>
        <w:t>Estonia</w:t>
      </w:r>
    </w:p>
    <w:p w:rsidR="001A6098" w:rsidRPr="00922A48" w:rsidRDefault="001A6098" w:rsidP="001A6098">
      <w:pPr>
        <w:pStyle w:val="ListParagraph"/>
        <w:numPr>
          <w:ilvl w:val="0"/>
          <w:numId w:val="32"/>
        </w:numPr>
        <w:autoSpaceDE w:val="0"/>
        <w:autoSpaceDN w:val="0"/>
        <w:adjustRightInd w:val="0"/>
        <w:spacing w:before="120" w:after="120" w:line="240" w:lineRule="auto"/>
        <w:contextualSpacing w:val="0"/>
        <w:jc w:val="both"/>
        <w:rPr>
          <w:rFonts w:ascii="Times New Roman" w:hAnsi="Times New Roman" w:cs="Times New Roman"/>
          <w:bCs/>
          <w:sz w:val="24"/>
          <w:szCs w:val="24"/>
        </w:rPr>
      </w:pPr>
      <w:r w:rsidRPr="00922A48">
        <w:rPr>
          <w:rFonts w:ascii="Times New Roman" w:hAnsi="Times New Roman" w:cs="Times New Roman"/>
          <w:noProof/>
          <w:sz w:val="24"/>
          <w:szCs w:val="24"/>
        </w:rPr>
        <w:drawing>
          <wp:anchor distT="0" distB="0" distL="114300" distR="114300" simplePos="0" relativeHeight="251661312" behindDoc="0" locked="0" layoutInCell="1" allowOverlap="1" wp14:anchorId="1B8EF954" wp14:editId="56FFDF0F">
            <wp:simplePos x="0" y="0"/>
            <wp:positionH relativeFrom="margin">
              <wp:posOffset>4546600</wp:posOffset>
            </wp:positionH>
            <wp:positionV relativeFrom="margin">
              <wp:posOffset>6784975</wp:posOffset>
            </wp:positionV>
            <wp:extent cx="1367155" cy="914400"/>
            <wp:effectExtent l="19050" t="19050" r="23495" b="1905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tonia.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67155" cy="9144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22A48">
        <w:rPr>
          <w:rFonts w:ascii="Times New Roman" w:hAnsi="Times New Roman" w:cs="Times New Roman"/>
          <w:bCs/>
          <w:sz w:val="24"/>
          <w:szCs w:val="24"/>
        </w:rPr>
        <w:t xml:space="preserve">In Estonia, transit shipments must be licensed when the dual-use goods are carried though Estonia from a country outside of the EU to another country, or if </w:t>
      </w:r>
      <w:r w:rsidRPr="00922A48">
        <w:rPr>
          <w:rFonts w:ascii="Times New Roman" w:hAnsi="Times New Roman" w:cs="Times New Roman"/>
          <w:b/>
          <w:bCs/>
          <w:sz w:val="24"/>
          <w:szCs w:val="24"/>
        </w:rPr>
        <w:t>military-related goods</w:t>
      </w:r>
      <w:r w:rsidRPr="00922A48">
        <w:rPr>
          <w:rFonts w:ascii="Times New Roman" w:hAnsi="Times New Roman" w:cs="Times New Roman"/>
          <w:bCs/>
          <w:sz w:val="24"/>
          <w:szCs w:val="24"/>
        </w:rPr>
        <w:t xml:space="preserve"> are carried through Estonia regardless of their final destination.</w:t>
      </w:r>
      <w:r w:rsidRPr="00922A48">
        <w:rPr>
          <w:rFonts w:ascii="Times New Roman" w:hAnsi="Times New Roman" w:cs="Times New Roman"/>
          <w:noProof/>
          <w:sz w:val="24"/>
          <w:szCs w:val="24"/>
        </w:rPr>
        <w:t xml:space="preserve"> </w:t>
      </w:r>
    </w:p>
    <w:p w:rsidR="001A6098" w:rsidRPr="00922A48" w:rsidRDefault="001A6098" w:rsidP="001A6098">
      <w:pPr>
        <w:pStyle w:val="ListParagraph"/>
        <w:numPr>
          <w:ilvl w:val="0"/>
          <w:numId w:val="32"/>
        </w:numPr>
        <w:autoSpaceDE w:val="0"/>
        <w:autoSpaceDN w:val="0"/>
        <w:adjustRightInd w:val="0"/>
        <w:spacing w:before="120" w:after="120" w:line="240" w:lineRule="auto"/>
        <w:contextualSpacing w:val="0"/>
        <w:jc w:val="both"/>
        <w:rPr>
          <w:rFonts w:ascii="Times New Roman" w:hAnsi="Times New Roman" w:cs="Times New Roman"/>
          <w:bCs/>
          <w:sz w:val="24"/>
          <w:szCs w:val="24"/>
        </w:rPr>
      </w:pPr>
      <w:r w:rsidRPr="00922A48">
        <w:rPr>
          <w:rFonts w:ascii="Times New Roman" w:hAnsi="Times New Roman" w:cs="Times New Roman"/>
          <w:bCs/>
          <w:sz w:val="24"/>
          <w:szCs w:val="24"/>
        </w:rPr>
        <w:t xml:space="preserve">Violations of these controls can result in </w:t>
      </w:r>
      <w:r w:rsidRPr="00922A48">
        <w:rPr>
          <w:rFonts w:ascii="Times New Roman" w:hAnsi="Times New Roman" w:cs="Times New Roman"/>
          <w:b/>
          <w:bCs/>
          <w:sz w:val="24"/>
          <w:szCs w:val="24"/>
        </w:rPr>
        <w:t>administrative and financial penalties</w:t>
      </w:r>
      <w:r w:rsidRPr="00922A48">
        <w:rPr>
          <w:rFonts w:ascii="Times New Roman" w:hAnsi="Times New Roman" w:cs="Times New Roman"/>
          <w:bCs/>
          <w:sz w:val="24"/>
          <w:szCs w:val="24"/>
        </w:rPr>
        <w:t xml:space="preserve">. Fines in Estonia range up to </w:t>
      </w:r>
      <w:r w:rsidRPr="00922A48">
        <w:rPr>
          <w:rFonts w:ascii="Times New Roman" w:hAnsi="Times New Roman" w:cs="Times New Roman"/>
          <w:b/>
          <w:bCs/>
          <w:sz w:val="24"/>
          <w:szCs w:val="24"/>
        </w:rPr>
        <w:t>3,205 Euros</w:t>
      </w:r>
      <w:r w:rsidRPr="00922A48">
        <w:rPr>
          <w:rFonts w:ascii="Times New Roman" w:hAnsi="Times New Roman" w:cs="Times New Roman"/>
          <w:bCs/>
          <w:sz w:val="24"/>
          <w:szCs w:val="24"/>
        </w:rPr>
        <w:t>.</w:t>
      </w:r>
    </w:p>
    <w:p w:rsidR="001A6098" w:rsidRDefault="001A6098" w:rsidP="001A6098">
      <w:pPr>
        <w:rPr>
          <w:rFonts w:ascii="Times New Roman" w:hAnsi="Times New Roman" w:cs="Times New Roman"/>
          <w:b/>
          <w:bCs/>
        </w:rPr>
      </w:pPr>
      <w:r>
        <w:rPr>
          <w:rFonts w:ascii="Times New Roman" w:hAnsi="Times New Roman" w:cs="Times New Roman"/>
          <w:b/>
          <w:bCs/>
        </w:rPr>
        <w:br w:type="page"/>
      </w:r>
    </w:p>
    <w:p w:rsidR="001A6098" w:rsidRPr="00922A48" w:rsidRDefault="001A6098" w:rsidP="001A6098">
      <w:pPr>
        <w:autoSpaceDE w:val="0"/>
        <w:autoSpaceDN w:val="0"/>
        <w:adjustRightInd w:val="0"/>
        <w:spacing w:after="0" w:line="240" w:lineRule="auto"/>
        <w:jc w:val="both"/>
        <w:rPr>
          <w:rFonts w:ascii="Times New Roman" w:hAnsi="Times New Roman" w:cs="Times New Roman"/>
          <w:sz w:val="24"/>
          <w:szCs w:val="24"/>
        </w:rPr>
      </w:pPr>
      <w:r w:rsidRPr="00922A48">
        <w:rPr>
          <w:rFonts w:ascii="Times New Roman" w:hAnsi="Times New Roman" w:cs="Times New Roman"/>
          <w:b/>
          <w:bCs/>
          <w:sz w:val="24"/>
          <w:szCs w:val="24"/>
        </w:rPr>
        <w:lastRenderedPageBreak/>
        <w:t>Hong Kong Special Administrative Region</w:t>
      </w:r>
    </w:p>
    <w:p w:rsidR="001A6098" w:rsidRPr="00922A48" w:rsidRDefault="001A6098" w:rsidP="001A6098">
      <w:pPr>
        <w:pStyle w:val="ListParagraph"/>
        <w:numPr>
          <w:ilvl w:val="0"/>
          <w:numId w:val="31"/>
        </w:numPr>
        <w:autoSpaceDE w:val="0"/>
        <w:autoSpaceDN w:val="0"/>
        <w:adjustRightInd w:val="0"/>
        <w:spacing w:before="180" w:after="120" w:line="240" w:lineRule="auto"/>
        <w:contextualSpacing w:val="0"/>
        <w:jc w:val="both"/>
        <w:rPr>
          <w:rFonts w:ascii="Times New Roman" w:hAnsi="Times New Roman" w:cs="Times New Roman"/>
          <w:sz w:val="24"/>
          <w:szCs w:val="24"/>
        </w:rPr>
      </w:pPr>
      <w:r w:rsidRPr="00922A48">
        <w:rPr>
          <w:rFonts w:ascii="Times New Roman" w:hAnsi="Times New Roman" w:cs="Times New Roman"/>
          <w:noProof/>
          <w:sz w:val="24"/>
          <w:szCs w:val="24"/>
        </w:rPr>
        <w:drawing>
          <wp:anchor distT="0" distB="0" distL="114300" distR="114300" simplePos="0" relativeHeight="251662336" behindDoc="0" locked="0" layoutInCell="1" allowOverlap="1" wp14:anchorId="311D3098" wp14:editId="47DE1182">
            <wp:simplePos x="0" y="0"/>
            <wp:positionH relativeFrom="margin">
              <wp:posOffset>4558030</wp:posOffset>
            </wp:positionH>
            <wp:positionV relativeFrom="margin">
              <wp:posOffset>195580</wp:posOffset>
            </wp:positionV>
            <wp:extent cx="1357630" cy="903605"/>
            <wp:effectExtent l="19050" t="19050" r="13970" b="1079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sar.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57630" cy="9036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922A48">
        <w:rPr>
          <w:rFonts w:ascii="Times New Roman" w:hAnsi="Times New Roman" w:cs="Times New Roman"/>
          <w:bCs/>
          <w:iCs/>
          <w:sz w:val="24"/>
          <w:szCs w:val="24"/>
        </w:rPr>
        <w:t xml:space="preserve">The </w:t>
      </w:r>
      <w:r w:rsidRPr="00922A48">
        <w:rPr>
          <w:rFonts w:ascii="Times New Roman" w:hAnsi="Times New Roman" w:cs="Times New Roman"/>
          <w:bCs/>
          <w:i/>
          <w:iCs/>
          <w:sz w:val="24"/>
          <w:szCs w:val="24"/>
        </w:rPr>
        <w:t>Import and Export Ordinance</w:t>
      </w:r>
      <w:r w:rsidRPr="00922A48">
        <w:rPr>
          <w:rFonts w:ascii="Times New Roman" w:hAnsi="Times New Roman" w:cs="Times New Roman"/>
          <w:bCs/>
          <w:i/>
          <w:sz w:val="24"/>
          <w:szCs w:val="24"/>
        </w:rPr>
        <w:t xml:space="preserve">, </w:t>
      </w:r>
      <w:r w:rsidRPr="00922A48">
        <w:rPr>
          <w:rFonts w:ascii="Times New Roman" w:hAnsi="Times New Roman" w:cs="Times New Roman"/>
          <w:sz w:val="24"/>
          <w:szCs w:val="24"/>
        </w:rPr>
        <w:t>Section 2 defines an ‘</w:t>
      </w:r>
      <w:r w:rsidRPr="00922A48">
        <w:rPr>
          <w:rFonts w:ascii="Times New Roman" w:hAnsi="Times New Roman" w:cs="Times New Roman"/>
          <w:b/>
          <w:sz w:val="24"/>
          <w:szCs w:val="24"/>
        </w:rPr>
        <w:t>article in transit</w:t>
      </w:r>
      <w:r w:rsidRPr="00922A48">
        <w:rPr>
          <w:rFonts w:ascii="Times New Roman" w:hAnsi="Times New Roman" w:cs="Times New Roman"/>
          <w:sz w:val="24"/>
          <w:szCs w:val="24"/>
        </w:rPr>
        <w:t>’ as an article which- (a) is brought in to Hong Kong solely for the purpose of taking it out of Hong Kong; and (b) remains at all times in or on the vessel or aircraft in or on which it is brought into Hong Kong”</w:t>
      </w:r>
    </w:p>
    <w:p w:rsidR="00BE4A77" w:rsidRPr="001A6098" w:rsidRDefault="001A6098" w:rsidP="001A6098">
      <w:pPr>
        <w:pStyle w:val="ListParagraph"/>
        <w:numPr>
          <w:ilvl w:val="0"/>
          <w:numId w:val="31"/>
        </w:numPr>
        <w:autoSpaceDE w:val="0"/>
        <w:autoSpaceDN w:val="0"/>
        <w:adjustRightInd w:val="0"/>
        <w:spacing w:before="120" w:after="120" w:line="240" w:lineRule="auto"/>
        <w:contextualSpacing w:val="0"/>
        <w:jc w:val="both"/>
        <w:rPr>
          <w:rFonts w:ascii="Times New Roman" w:hAnsi="Times New Roman" w:cs="Times New Roman"/>
        </w:rPr>
      </w:pPr>
      <w:r w:rsidRPr="00922A48">
        <w:rPr>
          <w:rFonts w:ascii="Times New Roman" w:hAnsi="Times New Roman" w:cs="Times New Roman"/>
          <w:sz w:val="24"/>
          <w:szCs w:val="24"/>
        </w:rPr>
        <w:t xml:space="preserve">Section 6A: “An article in transit” [listed in Schedule 2*] requires a license issued by the Director. An offense “is liable on summary conviction to a fine of $500,000 and to imprisonment for 2 years; and on conviction on indictment to an </w:t>
      </w:r>
      <w:r w:rsidRPr="00922A48">
        <w:rPr>
          <w:rFonts w:ascii="Times New Roman" w:hAnsi="Times New Roman" w:cs="Times New Roman"/>
          <w:b/>
          <w:sz w:val="24"/>
          <w:szCs w:val="24"/>
        </w:rPr>
        <w:t>unlimited fine</w:t>
      </w:r>
      <w:r w:rsidRPr="00922A48">
        <w:rPr>
          <w:rFonts w:ascii="Times New Roman" w:hAnsi="Times New Roman" w:cs="Times New Roman"/>
          <w:sz w:val="24"/>
          <w:szCs w:val="24"/>
        </w:rPr>
        <w:t xml:space="preserve"> and to </w:t>
      </w:r>
      <w:r w:rsidRPr="00922A48">
        <w:rPr>
          <w:rFonts w:ascii="Times New Roman" w:hAnsi="Times New Roman" w:cs="Times New Roman"/>
          <w:b/>
          <w:sz w:val="24"/>
          <w:szCs w:val="24"/>
        </w:rPr>
        <w:t xml:space="preserve">imprisonment for 7 years.”  </w:t>
      </w:r>
      <w:r w:rsidRPr="00922A48">
        <w:rPr>
          <w:rFonts w:ascii="Times New Roman" w:hAnsi="Times New Roman" w:cs="Times New Roman"/>
          <w:sz w:val="24"/>
          <w:szCs w:val="24"/>
          <w:u w:val="single"/>
        </w:rPr>
        <w:t>Note:</w:t>
      </w:r>
      <w:r w:rsidRPr="00922A48">
        <w:rPr>
          <w:rFonts w:ascii="Times New Roman" w:hAnsi="Times New Roman" w:cs="Times New Roman"/>
          <w:sz w:val="24"/>
          <w:szCs w:val="24"/>
        </w:rPr>
        <w:t xml:space="preserve"> </w:t>
      </w:r>
      <w:r w:rsidRPr="00922A48">
        <w:rPr>
          <w:rFonts w:ascii="Times New Roman" w:hAnsi="Times New Roman" w:cs="Times New Roman"/>
          <w:i/>
          <w:sz w:val="24"/>
          <w:szCs w:val="24"/>
        </w:rPr>
        <w:t>A license is necessary for the transit of items found in Schedule 2. Schedule 2 is comprised of certain munitions, nuclear, and nuclear dual-use items; WMD-relevant items and related technical information.</w:t>
      </w:r>
      <w:bookmarkStart w:id="0" w:name="_GoBack"/>
      <w:bookmarkEnd w:id="0"/>
    </w:p>
    <w:sectPr w:rsidR="00BE4A77" w:rsidRPr="001A6098" w:rsidSect="0031324E">
      <w:footerReference w:type="default" r:id="rId1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30D" w:rsidRDefault="0002530D" w:rsidP="006F2B1A">
      <w:pPr>
        <w:spacing w:after="0" w:line="240" w:lineRule="auto"/>
      </w:pPr>
      <w:r>
        <w:separator/>
      </w:r>
    </w:p>
  </w:endnote>
  <w:endnote w:type="continuationSeparator" w:id="0">
    <w:p w:rsidR="0002530D" w:rsidRDefault="0002530D" w:rsidP="006F2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455236"/>
      <w:docPartObj>
        <w:docPartGallery w:val="Page Numbers (Bottom of Page)"/>
        <w:docPartUnique/>
      </w:docPartObj>
    </w:sdtPr>
    <w:sdtEndPr>
      <w:rPr>
        <w:noProof/>
      </w:rPr>
    </w:sdtEndPr>
    <w:sdtContent>
      <w:p w:rsidR="004F1B60" w:rsidRDefault="004F1B60">
        <w:pPr>
          <w:pStyle w:val="Footer"/>
          <w:jc w:val="right"/>
        </w:pPr>
        <w:r>
          <w:fldChar w:fldCharType="begin"/>
        </w:r>
        <w:r>
          <w:instrText xml:space="preserve"> PAGE   \* MERGEFORMAT </w:instrText>
        </w:r>
        <w:r>
          <w:fldChar w:fldCharType="separate"/>
        </w:r>
        <w:r w:rsidR="001A6098">
          <w:rPr>
            <w:noProof/>
          </w:rPr>
          <w:t>1</w:t>
        </w:r>
        <w:r>
          <w:rPr>
            <w:noProof/>
          </w:rPr>
          <w:fldChar w:fldCharType="end"/>
        </w:r>
      </w:p>
    </w:sdtContent>
  </w:sdt>
  <w:p w:rsidR="004F1B60" w:rsidRDefault="004F1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30D" w:rsidRDefault="0002530D" w:rsidP="006F2B1A">
      <w:pPr>
        <w:spacing w:after="0" w:line="240" w:lineRule="auto"/>
      </w:pPr>
      <w:r>
        <w:separator/>
      </w:r>
    </w:p>
  </w:footnote>
  <w:footnote w:type="continuationSeparator" w:id="0">
    <w:p w:rsidR="0002530D" w:rsidRDefault="0002530D" w:rsidP="006F2B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446"/>
    <w:multiLevelType w:val="hybridMultilevel"/>
    <w:tmpl w:val="EFFE76DC"/>
    <w:lvl w:ilvl="0" w:tplc="487E78DC">
      <w:start w:val="1"/>
      <w:numFmt w:val="decimal"/>
      <w:lvlText w:val="%1."/>
      <w:lvlJc w:val="left"/>
      <w:pPr>
        <w:ind w:left="720" w:hanging="360"/>
      </w:pPr>
      <w:rPr>
        <w:rFonts w:cs="Times New Roman"/>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B744D"/>
    <w:multiLevelType w:val="hybridMultilevel"/>
    <w:tmpl w:val="1E0E7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032CB1"/>
    <w:multiLevelType w:val="hybridMultilevel"/>
    <w:tmpl w:val="80E0ABFE"/>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14DAE"/>
    <w:multiLevelType w:val="hybridMultilevel"/>
    <w:tmpl w:val="7D383C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9720B0"/>
    <w:multiLevelType w:val="hybridMultilevel"/>
    <w:tmpl w:val="571A1A76"/>
    <w:lvl w:ilvl="0" w:tplc="DEA63762">
      <w:start w:val="1"/>
      <w:numFmt w:val="bullet"/>
      <w:lvlText w:val=""/>
      <w:lvlJc w:val="left"/>
      <w:pPr>
        <w:ind w:left="720" w:hanging="360"/>
      </w:pPr>
      <w:rPr>
        <w:rFonts w:ascii="Wingdings" w:hAnsi="Wingdings" w:hint="default"/>
        <w:b/>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5C2C26"/>
    <w:multiLevelType w:val="hybridMultilevel"/>
    <w:tmpl w:val="CDF81F66"/>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6A3797"/>
    <w:multiLevelType w:val="hybridMultilevel"/>
    <w:tmpl w:val="C0CCC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0A61B6"/>
    <w:multiLevelType w:val="hybridMultilevel"/>
    <w:tmpl w:val="7ED8B35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0E5C45"/>
    <w:multiLevelType w:val="hybridMultilevel"/>
    <w:tmpl w:val="EC226DBA"/>
    <w:lvl w:ilvl="0" w:tplc="041A000F">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1712D"/>
    <w:multiLevelType w:val="hybridMultilevel"/>
    <w:tmpl w:val="4AB2027A"/>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B9542C"/>
    <w:multiLevelType w:val="hybridMultilevel"/>
    <w:tmpl w:val="E0A00DDE"/>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3F1FAE"/>
    <w:multiLevelType w:val="hybridMultilevel"/>
    <w:tmpl w:val="492440EE"/>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040341"/>
    <w:multiLevelType w:val="hybridMultilevel"/>
    <w:tmpl w:val="FEDE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8A5426"/>
    <w:multiLevelType w:val="hybridMultilevel"/>
    <w:tmpl w:val="08AC2FD4"/>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C460E9"/>
    <w:multiLevelType w:val="hybridMultilevel"/>
    <w:tmpl w:val="059CA5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E36E08"/>
    <w:multiLevelType w:val="hybridMultilevel"/>
    <w:tmpl w:val="048CABAC"/>
    <w:lvl w:ilvl="0" w:tplc="5D0E6DD6">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3E702F"/>
    <w:multiLevelType w:val="hybridMultilevel"/>
    <w:tmpl w:val="13DE6F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EB53BD"/>
    <w:multiLevelType w:val="hybridMultilevel"/>
    <w:tmpl w:val="D93C84BA"/>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1E438D"/>
    <w:multiLevelType w:val="hybridMultilevel"/>
    <w:tmpl w:val="96501B68"/>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0159FC"/>
    <w:multiLevelType w:val="hybridMultilevel"/>
    <w:tmpl w:val="A06A9A8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20B72BC"/>
    <w:multiLevelType w:val="hybridMultilevel"/>
    <w:tmpl w:val="3D6E00B6"/>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D26A6B"/>
    <w:multiLevelType w:val="hybridMultilevel"/>
    <w:tmpl w:val="BEF43C32"/>
    <w:lvl w:ilvl="0" w:tplc="0409000B">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2F19E7"/>
    <w:multiLevelType w:val="hybridMultilevel"/>
    <w:tmpl w:val="C7DCC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84BB8"/>
    <w:multiLevelType w:val="hybridMultilevel"/>
    <w:tmpl w:val="18283B2E"/>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74BBC"/>
    <w:multiLevelType w:val="hybridMultilevel"/>
    <w:tmpl w:val="67F0DA9E"/>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EA08FD"/>
    <w:multiLevelType w:val="hybridMultilevel"/>
    <w:tmpl w:val="B37AD8FE"/>
    <w:lvl w:ilvl="0" w:tplc="21F06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CA1EB1"/>
    <w:multiLevelType w:val="hybridMultilevel"/>
    <w:tmpl w:val="56989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1E2355"/>
    <w:multiLevelType w:val="hybridMultilevel"/>
    <w:tmpl w:val="34DC6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D12F38"/>
    <w:multiLevelType w:val="hybridMultilevel"/>
    <w:tmpl w:val="43EE64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3047ED"/>
    <w:multiLevelType w:val="hybridMultilevel"/>
    <w:tmpl w:val="0E0AD7D2"/>
    <w:lvl w:ilvl="0" w:tplc="DF02C9C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6B20770F"/>
    <w:multiLevelType w:val="hybridMultilevel"/>
    <w:tmpl w:val="697E897A"/>
    <w:lvl w:ilvl="0" w:tplc="99468F4C">
      <w:start w:val="1"/>
      <w:numFmt w:val="decimal"/>
      <w:lvlText w:val="%1."/>
      <w:lvlJc w:val="left"/>
      <w:pPr>
        <w:ind w:left="720" w:hanging="36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F53A5C"/>
    <w:multiLevelType w:val="hybridMultilevel"/>
    <w:tmpl w:val="32C4E9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12189E"/>
    <w:multiLevelType w:val="hybridMultilevel"/>
    <w:tmpl w:val="53484164"/>
    <w:lvl w:ilvl="0" w:tplc="14CE9064">
      <w:start w:val="1"/>
      <w:numFmt w:val="bullet"/>
      <w:lvlText w:val="–"/>
      <w:lvlJc w:val="left"/>
      <w:pPr>
        <w:tabs>
          <w:tab w:val="num" w:pos="720"/>
        </w:tabs>
        <w:ind w:left="720" w:hanging="360"/>
      </w:pPr>
      <w:rPr>
        <w:rFonts w:ascii="Arial" w:hAnsi="Arial" w:hint="default"/>
      </w:rPr>
    </w:lvl>
    <w:lvl w:ilvl="1" w:tplc="BE08BE32">
      <w:start w:val="1"/>
      <w:numFmt w:val="bullet"/>
      <w:lvlText w:val="–"/>
      <w:lvlJc w:val="left"/>
      <w:pPr>
        <w:tabs>
          <w:tab w:val="num" w:pos="1440"/>
        </w:tabs>
        <w:ind w:left="1440" w:hanging="360"/>
      </w:pPr>
      <w:rPr>
        <w:rFonts w:ascii="Arial" w:hAnsi="Arial" w:hint="default"/>
      </w:rPr>
    </w:lvl>
    <w:lvl w:ilvl="2" w:tplc="1756974C" w:tentative="1">
      <w:start w:val="1"/>
      <w:numFmt w:val="bullet"/>
      <w:lvlText w:val="–"/>
      <w:lvlJc w:val="left"/>
      <w:pPr>
        <w:tabs>
          <w:tab w:val="num" w:pos="2160"/>
        </w:tabs>
        <w:ind w:left="2160" w:hanging="360"/>
      </w:pPr>
      <w:rPr>
        <w:rFonts w:ascii="Arial" w:hAnsi="Arial" w:hint="default"/>
      </w:rPr>
    </w:lvl>
    <w:lvl w:ilvl="3" w:tplc="B1A48AD4" w:tentative="1">
      <w:start w:val="1"/>
      <w:numFmt w:val="bullet"/>
      <w:lvlText w:val="–"/>
      <w:lvlJc w:val="left"/>
      <w:pPr>
        <w:tabs>
          <w:tab w:val="num" w:pos="2880"/>
        </w:tabs>
        <w:ind w:left="2880" w:hanging="360"/>
      </w:pPr>
      <w:rPr>
        <w:rFonts w:ascii="Arial" w:hAnsi="Arial" w:hint="default"/>
      </w:rPr>
    </w:lvl>
    <w:lvl w:ilvl="4" w:tplc="8D50ACB8" w:tentative="1">
      <w:start w:val="1"/>
      <w:numFmt w:val="bullet"/>
      <w:lvlText w:val="–"/>
      <w:lvlJc w:val="left"/>
      <w:pPr>
        <w:tabs>
          <w:tab w:val="num" w:pos="3600"/>
        </w:tabs>
        <w:ind w:left="3600" w:hanging="360"/>
      </w:pPr>
      <w:rPr>
        <w:rFonts w:ascii="Arial" w:hAnsi="Arial" w:hint="default"/>
      </w:rPr>
    </w:lvl>
    <w:lvl w:ilvl="5" w:tplc="AFB8B6F8" w:tentative="1">
      <w:start w:val="1"/>
      <w:numFmt w:val="bullet"/>
      <w:lvlText w:val="–"/>
      <w:lvlJc w:val="left"/>
      <w:pPr>
        <w:tabs>
          <w:tab w:val="num" w:pos="4320"/>
        </w:tabs>
        <w:ind w:left="4320" w:hanging="360"/>
      </w:pPr>
      <w:rPr>
        <w:rFonts w:ascii="Arial" w:hAnsi="Arial" w:hint="default"/>
      </w:rPr>
    </w:lvl>
    <w:lvl w:ilvl="6" w:tplc="E89C4066" w:tentative="1">
      <w:start w:val="1"/>
      <w:numFmt w:val="bullet"/>
      <w:lvlText w:val="–"/>
      <w:lvlJc w:val="left"/>
      <w:pPr>
        <w:tabs>
          <w:tab w:val="num" w:pos="5040"/>
        </w:tabs>
        <w:ind w:left="5040" w:hanging="360"/>
      </w:pPr>
      <w:rPr>
        <w:rFonts w:ascii="Arial" w:hAnsi="Arial" w:hint="default"/>
      </w:rPr>
    </w:lvl>
    <w:lvl w:ilvl="7" w:tplc="DCA66520" w:tentative="1">
      <w:start w:val="1"/>
      <w:numFmt w:val="bullet"/>
      <w:lvlText w:val="–"/>
      <w:lvlJc w:val="left"/>
      <w:pPr>
        <w:tabs>
          <w:tab w:val="num" w:pos="5760"/>
        </w:tabs>
        <w:ind w:left="5760" w:hanging="360"/>
      </w:pPr>
      <w:rPr>
        <w:rFonts w:ascii="Arial" w:hAnsi="Arial" w:hint="default"/>
      </w:rPr>
    </w:lvl>
    <w:lvl w:ilvl="8" w:tplc="135E774C" w:tentative="1">
      <w:start w:val="1"/>
      <w:numFmt w:val="bullet"/>
      <w:lvlText w:val="–"/>
      <w:lvlJc w:val="left"/>
      <w:pPr>
        <w:tabs>
          <w:tab w:val="num" w:pos="6480"/>
        </w:tabs>
        <w:ind w:left="6480" w:hanging="360"/>
      </w:pPr>
      <w:rPr>
        <w:rFonts w:ascii="Arial" w:hAnsi="Arial" w:hint="default"/>
      </w:rPr>
    </w:lvl>
  </w:abstractNum>
  <w:abstractNum w:abstractNumId="33">
    <w:nsid w:val="755B6826"/>
    <w:multiLevelType w:val="hybridMultilevel"/>
    <w:tmpl w:val="9FBA0AA8"/>
    <w:lvl w:ilvl="0" w:tplc="DF02C9C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B653D8"/>
    <w:multiLevelType w:val="hybridMultilevel"/>
    <w:tmpl w:val="0D803DFC"/>
    <w:lvl w:ilvl="0" w:tplc="DF02C9C6">
      <w:start w:val="1"/>
      <w:numFmt w:val="bullet"/>
      <w:lvlText w:val=""/>
      <w:lvlJc w:val="left"/>
      <w:pPr>
        <w:ind w:left="720" w:hanging="360"/>
      </w:pPr>
      <w:rPr>
        <w:rFonts w:ascii="Wingdings" w:hAnsi="Wingdings" w:hint="default"/>
        <w:color w:val="auto"/>
      </w:rPr>
    </w:lvl>
    <w:lvl w:ilvl="1" w:tplc="3F76F528">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33"/>
  </w:num>
  <w:num w:numId="5">
    <w:abstractNumId w:val="12"/>
  </w:num>
  <w:num w:numId="6">
    <w:abstractNumId w:val="6"/>
  </w:num>
  <w:num w:numId="7">
    <w:abstractNumId w:val="9"/>
  </w:num>
  <w:num w:numId="8">
    <w:abstractNumId w:val="22"/>
  </w:num>
  <w:num w:numId="9">
    <w:abstractNumId w:val="8"/>
  </w:num>
  <w:num w:numId="10">
    <w:abstractNumId w:val="25"/>
  </w:num>
  <w:num w:numId="11">
    <w:abstractNumId w:val="30"/>
  </w:num>
  <w:num w:numId="12">
    <w:abstractNumId w:val="17"/>
  </w:num>
  <w:num w:numId="13">
    <w:abstractNumId w:val="29"/>
  </w:num>
  <w:num w:numId="14">
    <w:abstractNumId w:val="18"/>
  </w:num>
  <w:num w:numId="15">
    <w:abstractNumId w:val="24"/>
  </w:num>
  <w:num w:numId="16">
    <w:abstractNumId w:val="20"/>
  </w:num>
  <w:num w:numId="17">
    <w:abstractNumId w:val="34"/>
  </w:num>
  <w:num w:numId="18">
    <w:abstractNumId w:val="23"/>
  </w:num>
  <w:num w:numId="19">
    <w:abstractNumId w:val="13"/>
  </w:num>
  <w:num w:numId="20">
    <w:abstractNumId w:val="0"/>
  </w:num>
  <w:num w:numId="21">
    <w:abstractNumId w:val="15"/>
  </w:num>
  <w:num w:numId="22">
    <w:abstractNumId w:val="2"/>
  </w:num>
  <w:num w:numId="23">
    <w:abstractNumId w:val="16"/>
  </w:num>
  <w:num w:numId="24">
    <w:abstractNumId w:val="19"/>
  </w:num>
  <w:num w:numId="25">
    <w:abstractNumId w:val="7"/>
  </w:num>
  <w:num w:numId="26">
    <w:abstractNumId w:val="11"/>
  </w:num>
  <w:num w:numId="27">
    <w:abstractNumId w:val="26"/>
  </w:num>
  <w:num w:numId="28">
    <w:abstractNumId w:val="3"/>
  </w:num>
  <w:num w:numId="29">
    <w:abstractNumId w:val="21"/>
  </w:num>
  <w:num w:numId="30">
    <w:abstractNumId w:val="1"/>
  </w:num>
  <w:num w:numId="31">
    <w:abstractNumId w:val="27"/>
  </w:num>
  <w:num w:numId="32">
    <w:abstractNumId w:val="14"/>
  </w:num>
  <w:num w:numId="33">
    <w:abstractNumId w:val="32"/>
  </w:num>
  <w:num w:numId="34">
    <w:abstractNumId w:val="31"/>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A8"/>
    <w:rsid w:val="000032D9"/>
    <w:rsid w:val="00020451"/>
    <w:rsid w:val="0002530D"/>
    <w:rsid w:val="000303A0"/>
    <w:rsid w:val="000349F8"/>
    <w:rsid w:val="00034B70"/>
    <w:rsid w:val="000714A8"/>
    <w:rsid w:val="00072D56"/>
    <w:rsid w:val="000802DC"/>
    <w:rsid w:val="000806A0"/>
    <w:rsid w:val="00095DC9"/>
    <w:rsid w:val="000B15D6"/>
    <w:rsid w:val="000B234C"/>
    <w:rsid w:val="000B4EEA"/>
    <w:rsid w:val="000D5DAD"/>
    <w:rsid w:val="000D65EC"/>
    <w:rsid w:val="000F4AD6"/>
    <w:rsid w:val="000F55F4"/>
    <w:rsid w:val="000F5B8D"/>
    <w:rsid w:val="001133B5"/>
    <w:rsid w:val="00114F63"/>
    <w:rsid w:val="001166F4"/>
    <w:rsid w:val="0011776E"/>
    <w:rsid w:val="00117D35"/>
    <w:rsid w:val="00122398"/>
    <w:rsid w:val="00127B3A"/>
    <w:rsid w:val="001444E5"/>
    <w:rsid w:val="0015194A"/>
    <w:rsid w:val="00154452"/>
    <w:rsid w:val="001552D6"/>
    <w:rsid w:val="001855FD"/>
    <w:rsid w:val="001856FC"/>
    <w:rsid w:val="00194A93"/>
    <w:rsid w:val="00195024"/>
    <w:rsid w:val="00197758"/>
    <w:rsid w:val="001A0A1F"/>
    <w:rsid w:val="001A1CB3"/>
    <w:rsid w:val="001A20F2"/>
    <w:rsid w:val="001A2C60"/>
    <w:rsid w:val="001A5F84"/>
    <w:rsid w:val="001A6098"/>
    <w:rsid w:val="001C4497"/>
    <w:rsid w:val="001C4914"/>
    <w:rsid w:val="001C65FA"/>
    <w:rsid w:val="001D2A4F"/>
    <w:rsid w:val="001E4945"/>
    <w:rsid w:val="001F2257"/>
    <w:rsid w:val="001F3A9F"/>
    <w:rsid w:val="002211AA"/>
    <w:rsid w:val="0023042F"/>
    <w:rsid w:val="00241F35"/>
    <w:rsid w:val="00253692"/>
    <w:rsid w:val="00260873"/>
    <w:rsid w:val="00265C5A"/>
    <w:rsid w:val="00270C66"/>
    <w:rsid w:val="00282B95"/>
    <w:rsid w:val="00286A1F"/>
    <w:rsid w:val="00291DB2"/>
    <w:rsid w:val="00297CD9"/>
    <w:rsid w:val="002A0B5F"/>
    <w:rsid w:val="002A7433"/>
    <w:rsid w:val="002B41DB"/>
    <w:rsid w:val="002C1981"/>
    <w:rsid w:val="002C426A"/>
    <w:rsid w:val="002D287C"/>
    <w:rsid w:val="002D768D"/>
    <w:rsid w:val="002E3BDB"/>
    <w:rsid w:val="002E4D1E"/>
    <w:rsid w:val="002E7BE4"/>
    <w:rsid w:val="002F065B"/>
    <w:rsid w:val="002F5598"/>
    <w:rsid w:val="002F636D"/>
    <w:rsid w:val="00301156"/>
    <w:rsid w:val="00304796"/>
    <w:rsid w:val="0030572E"/>
    <w:rsid w:val="003057DA"/>
    <w:rsid w:val="00307BD3"/>
    <w:rsid w:val="00311FD2"/>
    <w:rsid w:val="0031324E"/>
    <w:rsid w:val="003167B1"/>
    <w:rsid w:val="0033604B"/>
    <w:rsid w:val="00343623"/>
    <w:rsid w:val="00343E1B"/>
    <w:rsid w:val="00347BB8"/>
    <w:rsid w:val="0035139B"/>
    <w:rsid w:val="003533D5"/>
    <w:rsid w:val="003743DD"/>
    <w:rsid w:val="00375054"/>
    <w:rsid w:val="00375E4F"/>
    <w:rsid w:val="003853F9"/>
    <w:rsid w:val="003A5185"/>
    <w:rsid w:val="003B308A"/>
    <w:rsid w:val="003B66FB"/>
    <w:rsid w:val="003B7EAA"/>
    <w:rsid w:val="003C2ED2"/>
    <w:rsid w:val="003C5985"/>
    <w:rsid w:val="003D60A4"/>
    <w:rsid w:val="003D6542"/>
    <w:rsid w:val="003F3233"/>
    <w:rsid w:val="00403A9A"/>
    <w:rsid w:val="00406107"/>
    <w:rsid w:val="00410D92"/>
    <w:rsid w:val="0041133F"/>
    <w:rsid w:val="00411981"/>
    <w:rsid w:val="00414687"/>
    <w:rsid w:val="00416216"/>
    <w:rsid w:val="0043251E"/>
    <w:rsid w:val="0044391F"/>
    <w:rsid w:val="00456AF3"/>
    <w:rsid w:val="00473C76"/>
    <w:rsid w:val="00475896"/>
    <w:rsid w:val="004760C9"/>
    <w:rsid w:val="00480324"/>
    <w:rsid w:val="00484787"/>
    <w:rsid w:val="00492C12"/>
    <w:rsid w:val="0049399E"/>
    <w:rsid w:val="004960CB"/>
    <w:rsid w:val="00496326"/>
    <w:rsid w:val="004A0F93"/>
    <w:rsid w:val="004A1469"/>
    <w:rsid w:val="004A2A60"/>
    <w:rsid w:val="004A2DEB"/>
    <w:rsid w:val="004A4C94"/>
    <w:rsid w:val="004B07F5"/>
    <w:rsid w:val="004C0183"/>
    <w:rsid w:val="004D58BB"/>
    <w:rsid w:val="004E40F6"/>
    <w:rsid w:val="004E7A45"/>
    <w:rsid w:val="004F0151"/>
    <w:rsid w:val="004F0A1D"/>
    <w:rsid w:val="004F1136"/>
    <w:rsid w:val="004F1B60"/>
    <w:rsid w:val="00504A80"/>
    <w:rsid w:val="005063B6"/>
    <w:rsid w:val="00513DC8"/>
    <w:rsid w:val="00515AD7"/>
    <w:rsid w:val="0052050C"/>
    <w:rsid w:val="00524BE4"/>
    <w:rsid w:val="005322A2"/>
    <w:rsid w:val="005421BC"/>
    <w:rsid w:val="0054349E"/>
    <w:rsid w:val="0057681C"/>
    <w:rsid w:val="00582684"/>
    <w:rsid w:val="00583045"/>
    <w:rsid w:val="00587F56"/>
    <w:rsid w:val="0059119F"/>
    <w:rsid w:val="005A07D0"/>
    <w:rsid w:val="005A6C52"/>
    <w:rsid w:val="005B0315"/>
    <w:rsid w:val="005B65A8"/>
    <w:rsid w:val="005B7979"/>
    <w:rsid w:val="005C356A"/>
    <w:rsid w:val="005D39EF"/>
    <w:rsid w:val="005D655D"/>
    <w:rsid w:val="005E1B19"/>
    <w:rsid w:val="006161AC"/>
    <w:rsid w:val="006272BD"/>
    <w:rsid w:val="006349E2"/>
    <w:rsid w:val="00647229"/>
    <w:rsid w:val="006571FF"/>
    <w:rsid w:val="00664951"/>
    <w:rsid w:val="006669C2"/>
    <w:rsid w:val="0067588A"/>
    <w:rsid w:val="00676351"/>
    <w:rsid w:val="00684F3A"/>
    <w:rsid w:val="00690E63"/>
    <w:rsid w:val="00697D98"/>
    <w:rsid w:val="006A4384"/>
    <w:rsid w:val="006B016A"/>
    <w:rsid w:val="006B61EC"/>
    <w:rsid w:val="006E2032"/>
    <w:rsid w:val="006E4525"/>
    <w:rsid w:val="006F2B1A"/>
    <w:rsid w:val="00713477"/>
    <w:rsid w:val="00715F4A"/>
    <w:rsid w:val="00722855"/>
    <w:rsid w:val="007317E8"/>
    <w:rsid w:val="00736281"/>
    <w:rsid w:val="00746043"/>
    <w:rsid w:val="007509FF"/>
    <w:rsid w:val="007541C8"/>
    <w:rsid w:val="00757C92"/>
    <w:rsid w:val="007601CB"/>
    <w:rsid w:val="007657BE"/>
    <w:rsid w:val="00772F57"/>
    <w:rsid w:val="00775FDF"/>
    <w:rsid w:val="007821BE"/>
    <w:rsid w:val="0078424D"/>
    <w:rsid w:val="0079378F"/>
    <w:rsid w:val="00794CD7"/>
    <w:rsid w:val="00797581"/>
    <w:rsid w:val="007A412C"/>
    <w:rsid w:val="007A42BE"/>
    <w:rsid w:val="007A4909"/>
    <w:rsid w:val="007A607E"/>
    <w:rsid w:val="007B715C"/>
    <w:rsid w:val="007D11CF"/>
    <w:rsid w:val="007D1D0F"/>
    <w:rsid w:val="007D350A"/>
    <w:rsid w:val="007E19EB"/>
    <w:rsid w:val="007E27DE"/>
    <w:rsid w:val="007E416F"/>
    <w:rsid w:val="007E44BA"/>
    <w:rsid w:val="007F0150"/>
    <w:rsid w:val="007F27BA"/>
    <w:rsid w:val="007F4EEA"/>
    <w:rsid w:val="00804B51"/>
    <w:rsid w:val="00810B11"/>
    <w:rsid w:val="008138A0"/>
    <w:rsid w:val="00814A9C"/>
    <w:rsid w:val="008210E7"/>
    <w:rsid w:val="008218F3"/>
    <w:rsid w:val="00827F42"/>
    <w:rsid w:val="00846BF1"/>
    <w:rsid w:val="00852626"/>
    <w:rsid w:val="00852B00"/>
    <w:rsid w:val="0085459E"/>
    <w:rsid w:val="00873E99"/>
    <w:rsid w:val="00874B1F"/>
    <w:rsid w:val="008B05B5"/>
    <w:rsid w:val="008B583D"/>
    <w:rsid w:val="008C3DB3"/>
    <w:rsid w:val="008D2D33"/>
    <w:rsid w:val="008E0BBC"/>
    <w:rsid w:val="008F6B4A"/>
    <w:rsid w:val="008F6E75"/>
    <w:rsid w:val="009001D5"/>
    <w:rsid w:val="00901656"/>
    <w:rsid w:val="0090332B"/>
    <w:rsid w:val="009131DF"/>
    <w:rsid w:val="009178EE"/>
    <w:rsid w:val="00922A48"/>
    <w:rsid w:val="00925075"/>
    <w:rsid w:val="00930698"/>
    <w:rsid w:val="009407AF"/>
    <w:rsid w:val="00951F86"/>
    <w:rsid w:val="00954A0C"/>
    <w:rsid w:val="00960508"/>
    <w:rsid w:val="009620D5"/>
    <w:rsid w:val="0097748D"/>
    <w:rsid w:val="00995BA8"/>
    <w:rsid w:val="00997453"/>
    <w:rsid w:val="009A5A2F"/>
    <w:rsid w:val="009A706B"/>
    <w:rsid w:val="009B202D"/>
    <w:rsid w:val="009B5282"/>
    <w:rsid w:val="009D5CFB"/>
    <w:rsid w:val="009E20BF"/>
    <w:rsid w:val="009E40C1"/>
    <w:rsid w:val="009F1147"/>
    <w:rsid w:val="009F384C"/>
    <w:rsid w:val="009F444B"/>
    <w:rsid w:val="009F7904"/>
    <w:rsid w:val="00A0383C"/>
    <w:rsid w:val="00A03BE7"/>
    <w:rsid w:val="00A31F47"/>
    <w:rsid w:val="00A329BA"/>
    <w:rsid w:val="00A45518"/>
    <w:rsid w:val="00A50800"/>
    <w:rsid w:val="00A51599"/>
    <w:rsid w:val="00A7096F"/>
    <w:rsid w:val="00A77751"/>
    <w:rsid w:val="00A81EF2"/>
    <w:rsid w:val="00A87FC1"/>
    <w:rsid w:val="00A90C56"/>
    <w:rsid w:val="00A922E0"/>
    <w:rsid w:val="00AA6B46"/>
    <w:rsid w:val="00AB1E29"/>
    <w:rsid w:val="00AB2743"/>
    <w:rsid w:val="00AB2A67"/>
    <w:rsid w:val="00AB31D4"/>
    <w:rsid w:val="00AC1C76"/>
    <w:rsid w:val="00AC2A6A"/>
    <w:rsid w:val="00AC5EFB"/>
    <w:rsid w:val="00AC7DE7"/>
    <w:rsid w:val="00AD4269"/>
    <w:rsid w:val="00AE1EA1"/>
    <w:rsid w:val="00AE2514"/>
    <w:rsid w:val="00AF3711"/>
    <w:rsid w:val="00B05BDD"/>
    <w:rsid w:val="00B14E02"/>
    <w:rsid w:val="00B16248"/>
    <w:rsid w:val="00B16E8C"/>
    <w:rsid w:val="00B22B96"/>
    <w:rsid w:val="00B26174"/>
    <w:rsid w:val="00B40142"/>
    <w:rsid w:val="00B402E7"/>
    <w:rsid w:val="00B42BD2"/>
    <w:rsid w:val="00B46CF6"/>
    <w:rsid w:val="00B5624B"/>
    <w:rsid w:val="00B66F60"/>
    <w:rsid w:val="00B72F96"/>
    <w:rsid w:val="00B77DA8"/>
    <w:rsid w:val="00B82045"/>
    <w:rsid w:val="00B8593A"/>
    <w:rsid w:val="00B94CA7"/>
    <w:rsid w:val="00B97CAF"/>
    <w:rsid w:val="00BA70C5"/>
    <w:rsid w:val="00BB5E6E"/>
    <w:rsid w:val="00BC0173"/>
    <w:rsid w:val="00BD28D4"/>
    <w:rsid w:val="00BD2D36"/>
    <w:rsid w:val="00BE31D8"/>
    <w:rsid w:val="00BE4A77"/>
    <w:rsid w:val="00BE4D63"/>
    <w:rsid w:val="00BE5A80"/>
    <w:rsid w:val="00BF1308"/>
    <w:rsid w:val="00BF5C0A"/>
    <w:rsid w:val="00C04DA9"/>
    <w:rsid w:val="00C0706C"/>
    <w:rsid w:val="00C139F9"/>
    <w:rsid w:val="00C17374"/>
    <w:rsid w:val="00C222B5"/>
    <w:rsid w:val="00C50C36"/>
    <w:rsid w:val="00C533CE"/>
    <w:rsid w:val="00C53496"/>
    <w:rsid w:val="00C5607E"/>
    <w:rsid w:val="00C70FC9"/>
    <w:rsid w:val="00C86FDC"/>
    <w:rsid w:val="00C91E15"/>
    <w:rsid w:val="00C91F32"/>
    <w:rsid w:val="00C97778"/>
    <w:rsid w:val="00C97E17"/>
    <w:rsid w:val="00CA3FF1"/>
    <w:rsid w:val="00CA7179"/>
    <w:rsid w:val="00CB5279"/>
    <w:rsid w:val="00CE4BCE"/>
    <w:rsid w:val="00CF1419"/>
    <w:rsid w:val="00CF2C26"/>
    <w:rsid w:val="00D01B49"/>
    <w:rsid w:val="00D13D95"/>
    <w:rsid w:val="00D14845"/>
    <w:rsid w:val="00D219C1"/>
    <w:rsid w:val="00D22777"/>
    <w:rsid w:val="00D2344A"/>
    <w:rsid w:val="00D2483C"/>
    <w:rsid w:val="00D27F65"/>
    <w:rsid w:val="00D34E8C"/>
    <w:rsid w:val="00D42BAB"/>
    <w:rsid w:val="00D44EB9"/>
    <w:rsid w:val="00D644B9"/>
    <w:rsid w:val="00D6553A"/>
    <w:rsid w:val="00D6614F"/>
    <w:rsid w:val="00D76291"/>
    <w:rsid w:val="00D80F4A"/>
    <w:rsid w:val="00D86602"/>
    <w:rsid w:val="00D87D59"/>
    <w:rsid w:val="00D93DC5"/>
    <w:rsid w:val="00DA0200"/>
    <w:rsid w:val="00DB790F"/>
    <w:rsid w:val="00DC0526"/>
    <w:rsid w:val="00DC5076"/>
    <w:rsid w:val="00DD0AE7"/>
    <w:rsid w:val="00DD1E3D"/>
    <w:rsid w:val="00DE476E"/>
    <w:rsid w:val="00DF0066"/>
    <w:rsid w:val="00DF242C"/>
    <w:rsid w:val="00DF4F56"/>
    <w:rsid w:val="00E0359C"/>
    <w:rsid w:val="00E037A9"/>
    <w:rsid w:val="00E068FE"/>
    <w:rsid w:val="00E10BE7"/>
    <w:rsid w:val="00E11BE6"/>
    <w:rsid w:val="00E25520"/>
    <w:rsid w:val="00E31E9A"/>
    <w:rsid w:val="00E328BB"/>
    <w:rsid w:val="00E41CDF"/>
    <w:rsid w:val="00E669E3"/>
    <w:rsid w:val="00E81F75"/>
    <w:rsid w:val="00E8223C"/>
    <w:rsid w:val="00E84A2C"/>
    <w:rsid w:val="00EA543A"/>
    <w:rsid w:val="00EA5D77"/>
    <w:rsid w:val="00EB0BEC"/>
    <w:rsid w:val="00EB3CA9"/>
    <w:rsid w:val="00EC0447"/>
    <w:rsid w:val="00EC34F5"/>
    <w:rsid w:val="00ED61BB"/>
    <w:rsid w:val="00ED6968"/>
    <w:rsid w:val="00EF6823"/>
    <w:rsid w:val="00EF7411"/>
    <w:rsid w:val="00F14672"/>
    <w:rsid w:val="00F20CB3"/>
    <w:rsid w:val="00F260C1"/>
    <w:rsid w:val="00F50753"/>
    <w:rsid w:val="00F5377B"/>
    <w:rsid w:val="00F54254"/>
    <w:rsid w:val="00F664B1"/>
    <w:rsid w:val="00F75959"/>
    <w:rsid w:val="00F760D8"/>
    <w:rsid w:val="00F84D46"/>
    <w:rsid w:val="00FA1BF4"/>
    <w:rsid w:val="00FB7335"/>
    <w:rsid w:val="00FC0138"/>
    <w:rsid w:val="00FC1D23"/>
    <w:rsid w:val="00FC6D9C"/>
    <w:rsid w:val="00FF217F"/>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3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44A"/>
    <w:rPr>
      <w:sz w:val="20"/>
      <w:szCs w:val="20"/>
    </w:rPr>
  </w:style>
  <w:style w:type="character" w:styleId="FootnoteReference">
    <w:name w:val="footnote reference"/>
    <w:basedOn w:val="DefaultParagraphFont"/>
    <w:uiPriority w:val="99"/>
    <w:semiHidden/>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styleId="Revision">
    <w:name w:val="Revision"/>
    <w:hidden/>
    <w:uiPriority w:val="99"/>
    <w:semiHidden/>
    <w:rsid w:val="000D5DAD"/>
    <w:pPr>
      <w:spacing w:after="0" w:line="240" w:lineRule="auto"/>
    </w:pPr>
  </w:style>
  <w:style w:type="paragraph" w:customStyle="1" w:styleId="Default">
    <w:name w:val="Default"/>
    <w:rsid w:val="00375E4F"/>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375E4F"/>
    <w:pPr>
      <w:spacing w:line="253" w:lineRule="atLeast"/>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1A"/>
  </w:style>
  <w:style w:type="paragraph" w:styleId="Footer">
    <w:name w:val="footer"/>
    <w:basedOn w:val="Normal"/>
    <w:link w:val="FooterChar"/>
    <w:uiPriority w:val="99"/>
    <w:unhideWhenUsed/>
    <w:rsid w:val="006F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1A"/>
  </w:style>
  <w:style w:type="paragraph" w:styleId="BalloonText">
    <w:name w:val="Balloon Text"/>
    <w:basedOn w:val="Normal"/>
    <w:link w:val="BalloonTextChar"/>
    <w:uiPriority w:val="99"/>
    <w:semiHidden/>
    <w:unhideWhenUsed/>
    <w:rsid w:val="0074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043"/>
    <w:rPr>
      <w:rFonts w:ascii="Tahoma" w:hAnsi="Tahoma" w:cs="Tahoma"/>
      <w:sz w:val="16"/>
      <w:szCs w:val="16"/>
    </w:rPr>
  </w:style>
  <w:style w:type="paragraph" w:styleId="ListParagraph">
    <w:name w:val="List Paragraph"/>
    <w:basedOn w:val="Normal"/>
    <w:uiPriority w:val="34"/>
    <w:qFormat/>
    <w:rsid w:val="001A1CB3"/>
    <w:pPr>
      <w:ind w:left="720"/>
      <w:contextualSpacing/>
    </w:pPr>
  </w:style>
  <w:style w:type="paragraph" w:styleId="EndnoteText">
    <w:name w:val="endnote text"/>
    <w:basedOn w:val="Normal"/>
    <w:link w:val="EndnoteTextChar"/>
    <w:uiPriority w:val="99"/>
    <w:semiHidden/>
    <w:unhideWhenUsed/>
    <w:rsid w:val="004F113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F1136"/>
    <w:rPr>
      <w:sz w:val="20"/>
      <w:szCs w:val="20"/>
    </w:rPr>
  </w:style>
  <w:style w:type="character" w:styleId="EndnoteReference">
    <w:name w:val="endnote reference"/>
    <w:basedOn w:val="DefaultParagraphFont"/>
    <w:uiPriority w:val="99"/>
    <w:semiHidden/>
    <w:unhideWhenUsed/>
    <w:rsid w:val="004F1136"/>
    <w:rPr>
      <w:vertAlign w:val="superscript"/>
    </w:rPr>
  </w:style>
  <w:style w:type="character" w:styleId="CommentReference">
    <w:name w:val="annotation reference"/>
    <w:basedOn w:val="DefaultParagraphFont"/>
    <w:uiPriority w:val="99"/>
    <w:semiHidden/>
    <w:unhideWhenUsed/>
    <w:rsid w:val="001166F4"/>
    <w:rPr>
      <w:sz w:val="16"/>
      <w:szCs w:val="16"/>
    </w:rPr>
  </w:style>
  <w:style w:type="paragraph" w:styleId="CommentText">
    <w:name w:val="annotation text"/>
    <w:basedOn w:val="Normal"/>
    <w:link w:val="CommentTextChar"/>
    <w:uiPriority w:val="99"/>
    <w:unhideWhenUsed/>
    <w:rsid w:val="001166F4"/>
    <w:pPr>
      <w:spacing w:line="240" w:lineRule="auto"/>
    </w:pPr>
    <w:rPr>
      <w:sz w:val="20"/>
      <w:szCs w:val="20"/>
    </w:rPr>
  </w:style>
  <w:style w:type="character" w:customStyle="1" w:styleId="CommentTextChar">
    <w:name w:val="Comment Text Char"/>
    <w:basedOn w:val="DefaultParagraphFont"/>
    <w:link w:val="CommentText"/>
    <w:uiPriority w:val="99"/>
    <w:rsid w:val="001166F4"/>
    <w:rPr>
      <w:sz w:val="20"/>
      <w:szCs w:val="20"/>
    </w:rPr>
  </w:style>
  <w:style w:type="paragraph" w:styleId="CommentSubject">
    <w:name w:val="annotation subject"/>
    <w:basedOn w:val="CommentText"/>
    <w:next w:val="CommentText"/>
    <w:link w:val="CommentSubjectChar"/>
    <w:uiPriority w:val="99"/>
    <w:semiHidden/>
    <w:unhideWhenUsed/>
    <w:rsid w:val="001166F4"/>
    <w:rPr>
      <w:b/>
      <w:bCs/>
    </w:rPr>
  </w:style>
  <w:style w:type="character" w:customStyle="1" w:styleId="CommentSubjectChar">
    <w:name w:val="Comment Subject Char"/>
    <w:basedOn w:val="CommentTextChar"/>
    <w:link w:val="CommentSubject"/>
    <w:uiPriority w:val="99"/>
    <w:semiHidden/>
    <w:rsid w:val="001166F4"/>
    <w:rPr>
      <w:b/>
      <w:bCs/>
      <w:sz w:val="20"/>
      <w:szCs w:val="20"/>
    </w:rPr>
  </w:style>
  <w:style w:type="character" w:styleId="Hyperlink">
    <w:name w:val="Hyperlink"/>
    <w:basedOn w:val="DefaultParagraphFont"/>
    <w:uiPriority w:val="99"/>
    <w:unhideWhenUsed/>
    <w:rsid w:val="0011776E"/>
    <w:rPr>
      <w:color w:val="0000FF" w:themeColor="hyperlink"/>
      <w:u w:val="single"/>
    </w:rPr>
  </w:style>
  <w:style w:type="paragraph" w:customStyle="1" w:styleId="bodytext">
    <w:name w:val="bodytext"/>
    <w:basedOn w:val="Normal"/>
    <w:rsid w:val="00D227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119F"/>
  </w:style>
  <w:style w:type="paragraph" w:styleId="NormalWeb">
    <w:name w:val="Normal (Web)"/>
    <w:basedOn w:val="Normal"/>
    <w:uiPriority w:val="99"/>
    <w:unhideWhenUsed/>
    <w:rsid w:val="004A0F9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A0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23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344A"/>
    <w:rPr>
      <w:sz w:val="20"/>
      <w:szCs w:val="20"/>
    </w:rPr>
  </w:style>
  <w:style w:type="character" w:styleId="FootnoteReference">
    <w:name w:val="footnote reference"/>
    <w:basedOn w:val="DefaultParagraphFont"/>
    <w:uiPriority w:val="99"/>
    <w:semiHidden/>
    <w:unhideWhenUsed/>
    <w:rsid w:val="00D2344A"/>
    <w:rPr>
      <w:vertAlign w:val="superscript"/>
    </w:rPr>
  </w:style>
  <w:style w:type="character" w:styleId="FollowedHyperlink">
    <w:name w:val="FollowedHyperlink"/>
    <w:basedOn w:val="DefaultParagraphFont"/>
    <w:uiPriority w:val="99"/>
    <w:semiHidden/>
    <w:unhideWhenUsed/>
    <w:rsid w:val="007A42BE"/>
    <w:rPr>
      <w:color w:val="800080" w:themeColor="followedHyperlink"/>
      <w:u w:val="single"/>
    </w:rPr>
  </w:style>
  <w:style w:type="paragraph" w:styleId="Revision">
    <w:name w:val="Revision"/>
    <w:hidden/>
    <w:uiPriority w:val="99"/>
    <w:semiHidden/>
    <w:rsid w:val="000D5DAD"/>
    <w:pPr>
      <w:spacing w:after="0" w:line="240" w:lineRule="auto"/>
    </w:pPr>
  </w:style>
  <w:style w:type="paragraph" w:customStyle="1" w:styleId="Default">
    <w:name w:val="Default"/>
    <w:rsid w:val="00375E4F"/>
    <w:pPr>
      <w:autoSpaceDE w:val="0"/>
      <w:autoSpaceDN w:val="0"/>
      <w:adjustRightInd w:val="0"/>
      <w:spacing w:after="0" w:line="240" w:lineRule="auto"/>
    </w:pPr>
    <w:rPr>
      <w:rFonts w:ascii="Arial" w:hAnsi="Arial" w:cs="Arial"/>
      <w:color w:val="000000"/>
      <w:sz w:val="24"/>
      <w:szCs w:val="24"/>
    </w:rPr>
  </w:style>
  <w:style w:type="paragraph" w:customStyle="1" w:styleId="CM5">
    <w:name w:val="CM5"/>
    <w:basedOn w:val="Default"/>
    <w:next w:val="Default"/>
    <w:uiPriority w:val="99"/>
    <w:rsid w:val="00375E4F"/>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408">
      <w:bodyDiv w:val="1"/>
      <w:marLeft w:val="0"/>
      <w:marRight w:val="0"/>
      <w:marTop w:val="0"/>
      <w:marBottom w:val="0"/>
      <w:divBdr>
        <w:top w:val="none" w:sz="0" w:space="0" w:color="auto"/>
        <w:left w:val="none" w:sz="0" w:space="0" w:color="auto"/>
        <w:bottom w:val="none" w:sz="0" w:space="0" w:color="auto"/>
        <w:right w:val="none" w:sz="0" w:space="0" w:color="auto"/>
      </w:divBdr>
      <w:divsChild>
        <w:div w:id="221215338">
          <w:marLeft w:val="0"/>
          <w:marRight w:val="0"/>
          <w:marTop w:val="0"/>
          <w:marBottom w:val="0"/>
          <w:divBdr>
            <w:top w:val="none" w:sz="0" w:space="0" w:color="auto"/>
            <w:left w:val="none" w:sz="0" w:space="0" w:color="auto"/>
            <w:bottom w:val="none" w:sz="0" w:space="0" w:color="auto"/>
            <w:right w:val="none" w:sz="0" w:space="0" w:color="auto"/>
          </w:divBdr>
        </w:div>
      </w:divsChild>
    </w:div>
    <w:div w:id="224099970">
      <w:bodyDiv w:val="1"/>
      <w:marLeft w:val="0"/>
      <w:marRight w:val="0"/>
      <w:marTop w:val="0"/>
      <w:marBottom w:val="0"/>
      <w:divBdr>
        <w:top w:val="none" w:sz="0" w:space="0" w:color="auto"/>
        <w:left w:val="none" w:sz="0" w:space="0" w:color="auto"/>
        <w:bottom w:val="none" w:sz="0" w:space="0" w:color="auto"/>
        <w:right w:val="none" w:sz="0" w:space="0" w:color="auto"/>
      </w:divBdr>
      <w:divsChild>
        <w:div w:id="12067224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1572316">
      <w:bodyDiv w:val="1"/>
      <w:marLeft w:val="0"/>
      <w:marRight w:val="0"/>
      <w:marTop w:val="0"/>
      <w:marBottom w:val="0"/>
      <w:divBdr>
        <w:top w:val="none" w:sz="0" w:space="0" w:color="auto"/>
        <w:left w:val="none" w:sz="0" w:space="0" w:color="auto"/>
        <w:bottom w:val="none" w:sz="0" w:space="0" w:color="auto"/>
        <w:right w:val="none" w:sz="0" w:space="0" w:color="auto"/>
      </w:divBdr>
      <w:divsChild>
        <w:div w:id="437412006">
          <w:marLeft w:val="0"/>
          <w:marRight w:val="0"/>
          <w:marTop w:val="0"/>
          <w:marBottom w:val="0"/>
          <w:divBdr>
            <w:top w:val="none" w:sz="0" w:space="0" w:color="auto"/>
            <w:left w:val="none" w:sz="0" w:space="0" w:color="auto"/>
            <w:bottom w:val="none" w:sz="0" w:space="0" w:color="auto"/>
            <w:right w:val="none" w:sz="0" w:space="0" w:color="auto"/>
          </w:divBdr>
        </w:div>
      </w:divsChild>
    </w:div>
    <w:div w:id="277874402">
      <w:bodyDiv w:val="1"/>
      <w:marLeft w:val="0"/>
      <w:marRight w:val="0"/>
      <w:marTop w:val="0"/>
      <w:marBottom w:val="0"/>
      <w:divBdr>
        <w:top w:val="none" w:sz="0" w:space="0" w:color="auto"/>
        <w:left w:val="none" w:sz="0" w:space="0" w:color="auto"/>
        <w:bottom w:val="none" w:sz="0" w:space="0" w:color="auto"/>
        <w:right w:val="none" w:sz="0" w:space="0" w:color="auto"/>
      </w:divBdr>
      <w:divsChild>
        <w:div w:id="990326426">
          <w:marLeft w:val="0"/>
          <w:marRight w:val="0"/>
          <w:marTop w:val="0"/>
          <w:marBottom w:val="0"/>
          <w:divBdr>
            <w:top w:val="none" w:sz="0" w:space="0" w:color="auto"/>
            <w:left w:val="none" w:sz="0" w:space="0" w:color="auto"/>
            <w:bottom w:val="none" w:sz="0" w:space="0" w:color="auto"/>
            <w:right w:val="none" w:sz="0" w:space="0" w:color="auto"/>
          </w:divBdr>
        </w:div>
      </w:divsChild>
    </w:div>
    <w:div w:id="390857322">
      <w:bodyDiv w:val="1"/>
      <w:marLeft w:val="0"/>
      <w:marRight w:val="0"/>
      <w:marTop w:val="0"/>
      <w:marBottom w:val="0"/>
      <w:divBdr>
        <w:top w:val="none" w:sz="0" w:space="0" w:color="auto"/>
        <w:left w:val="none" w:sz="0" w:space="0" w:color="auto"/>
        <w:bottom w:val="none" w:sz="0" w:space="0" w:color="auto"/>
        <w:right w:val="none" w:sz="0" w:space="0" w:color="auto"/>
      </w:divBdr>
    </w:div>
    <w:div w:id="446315859">
      <w:bodyDiv w:val="1"/>
      <w:marLeft w:val="0"/>
      <w:marRight w:val="0"/>
      <w:marTop w:val="0"/>
      <w:marBottom w:val="0"/>
      <w:divBdr>
        <w:top w:val="none" w:sz="0" w:space="0" w:color="auto"/>
        <w:left w:val="none" w:sz="0" w:space="0" w:color="auto"/>
        <w:bottom w:val="none" w:sz="0" w:space="0" w:color="auto"/>
        <w:right w:val="none" w:sz="0" w:space="0" w:color="auto"/>
      </w:divBdr>
    </w:div>
    <w:div w:id="512232932">
      <w:bodyDiv w:val="1"/>
      <w:marLeft w:val="0"/>
      <w:marRight w:val="0"/>
      <w:marTop w:val="0"/>
      <w:marBottom w:val="0"/>
      <w:divBdr>
        <w:top w:val="none" w:sz="0" w:space="0" w:color="auto"/>
        <w:left w:val="none" w:sz="0" w:space="0" w:color="auto"/>
        <w:bottom w:val="none" w:sz="0" w:space="0" w:color="auto"/>
        <w:right w:val="none" w:sz="0" w:space="0" w:color="auto"/>
      </w:divBdr>
    </w:div>
    <w:div w:id="540942613">
      <w:bodyDiv w:val="1"/>
      <w:marLeft w:val="0"/>
      <w:marRight w:val="0"/>
      <w:marTop w:val="0"/>
      <w:marBottom w:val="0"/>
      <w:divBdr>
        <w:top w:val="none" w:sz="0" w:space="0" w:color="auto"/>
        <w:left w:val="none" w:sz="0" w:space="0" w:color="auto"/>
        <w:bottom w:val="none" w:sz="0" w:space="0" w:color="auto"/>
        <w:right w:val="none" w:sz="0" w:space="0" w:color="auto"/>
      </w:divBdr>
    </w:div>
    <w:div w:id="624232900">
      <w:bodyDiv w:val="1"/>
      <w:marLeft w:val="0"/>
      <w:marRight w:val="0"/>
      <w:marTop w:val="0"/>
      <w:marBottom w:val="0"/>
      <w:divBdr>
        <w:top w:val="none" w:sz="0" w:space="0" w:color="auto"/>
        <w:left w:val="none" w:sz="0" w:space="0" w:color="auto"/>
        <w:bottom w:val="none" w:sz="0" w:space="0" w:color="auto"/>
        <w:right w:val="none" w:sz="0" w:space="0" w:color="auto"/>
      </w:divBdr>
    </w:div>
    <w:div w:id="733435383">
      <w:bodyDiv w:val="1"/>
      <w:marLeft w:val="0"/>
      <w:marRight w:val="0"/>
      <w:marTop w:val="0"/>
      <w:marBottom w:val="0"/>
      <w:divBdr>
        <w:top w:val="none" w:sz="0" w:space="0" w:color="auto"/>
        <w:left w:val="none" w:sz="0" w:space="0" w:color="auto"/>
        <w:bottom w:val="none" w:sz="0" w:space="0" w:color="auto"/>
        <w:right w:val="none" w:sz="0" w:space="0" w:color="auto"/>
      </w:divBdr>
    </w:div>
    <w:div w:id="738870656">
      <w:bodyDiv w:val="1"/>
      <w:marLeft w:val="0"/>
      <w:marRight w:val="0"/>
      <w:marTop w:val="0"/>
      <w:marBottom w:val="0"/>
      <w:divBdr>
        <w:top w:val="none" w:sz="0" w:space="0" w:color="auto"/>
        <w:left w:val="none" w:sz="0" w:space="0" w:color="auto"/>
        <w:bottom w:val="none" w:sz="0" w:space="0" w:color="auto"/>
        <w:right w:val="none" w:sz="0" w:space="0" w:color="auto"/>
      </w:divBdr>
      <w:divsChild>
        <w:div w:id="1317732376">
          <w:marLeft w:val="0"/>
          <w:marRight w:val="0"/>
          <w:marTop w:val="0"/>
          <w:marBottom w:val="0"/>
          <w:divBdr>
            <w:top w:val="none" w:sz="0" w:space="0" w:color="auto"/>
            <w:left w:val="none" w:sz="0" w:space="0" w:color="auto"/>
            <w:bottom w:val="none" w:sz="0" w:space="0" w:color="auto"/>
            <w:right w:val="none" w:sz="0" w:space="0" w:color="auto"/>
          </w:divBdr>
        </w:div>
      </w:divsChild>
    </w:div>
    <w:div w:id="800540682">
      <w:bodyDiv w:val="1"/>
      <w:marLeft w:val="0"/>
      <w:marRight w:val="0"/>
      <w:marTop w:val="0"/>
      <w:marBottom w:val="0"/>
      <w:divBdr>
        <w:top w:val="none" w:sz="0" w:space="0" w:color="auto"/>
        <w:left w:val="none" w:sz="0" w:space="0" w:color="auto"/>
        <w:bottom w:val="none" w:sz="0" w:space="0" w:color="auto"/>
        <w:right w:val="none" w:sz="0" w:space="0" w:color="auto"/>
      </w:divBdr>
    </w:div>
    <w:div w:id="927229422">
      <w:bodyDiv w:val="1"/>
      <w:marLeft w:val="0"/>
      <w:marRight w:val="0"/>
      <w:marTop w:val="0"/>
      <w:marBottom w:val="0"/>
      <w:divBdr>
        <w:top w:val="none" w:sz="0" w:space="0" w:color="auto"/>
        <w:left w:val="none" w:sz="0" w:space="0" w:color="auto"/>
        <w:bottom w:val="none" w:sz="0" w:space="0" w:color="auto"/>
        <w:right w:val="none" w:sz="0" w:space="0" w:color="auto"/>
      </w:divBdr>
    </w:div>
    <w:div w:id="1069038300">
      <w:bodyDiv w:val="1"/>
      <w:marLeft w:val="0"/>
      <w:marRight w:val="0"/>
      <w:marTop w:val="0"/>
      <w:marBottom w:val="0"/>
      <w:divBdr>
        <w:top w:val="none" w:sz="0" w:space="0" w:color="auto"/>
        <w:left w:val="none" w:sz="0" w:space="0" w:color="auto"/>
        <w:bottom w:val="none" w:sz="0" w:space="0" w:color="auto"/>
        <w:right w:val="none" w:sz="0" w:space="0" w:color="auto"/>
      </w:divBdr>
    </w:div>
    <w:div w:id="1396389066">
      <w:bodyDiv w:val="1"/>
      <w:marLeft w:val="0"/>
      <w:marRight w:val="0"/>
      <w:marTop w:val="0"/>
      <w:marBottom w:val="0"/>
      <w:divBdr>
        <w:top w:val="none" w:sz="0" w:space="0" w:color="auto"/>
        <w:left w:val="none" w:sz="0" w:space="0" w:color="auto"/>
        <w:bottom w:val="none" w:sz="0" w:space="0" w:color="auto"/>
        <w:right w:val="none" w:sz="0" w:space="0" w:color="auto"/>
      </w:divBdr>
    </w:div>
    <w:div w:id="1609896726">
      <w:bodyDiv w:val="1"/>
      <w:marLeft w:val="0"/>
      <w:marRight w:val="0"/>
      <w:marTop w:val="0"/>
      <w:marBottom w:val="0"/>
      <w:divBdr>
        <w:top w:val="none" w:sz="0" w:space="0" w:color="auto"/>
        <w:left w:val="none" w:sz="0" w:space="0" w:color="auto"/>
        <w:bottom w:val="none" w:sz="0" w:space="0" w:color="auto"/>
        <w:right w:val="none" w:sz="0" w:space="0" w:color="auto"/>
      </w:divBdr>
    </w:div>
    <w:div w:id="1757440730">
      <w:bodyDiv w:val="1"/>
      <w:marLeft w:val="0"/>
      <w:marRight w:val="0"/>
      <w:marTop w:val="0"/>
      <w:marBottom w:val="0"/>
      <w:divBdr>
        <w:top w:val="none" w:sz="0" w:space="0" w:color="auto"/>
        <w:left w:val="none" w:sz="0" w:space="0" w:color="auto"/>
        <w:bottom w:val="none" w:sz="0" w:space="0" w:color="auto"/>
        <w:right w:val="none" w:sz="0" w:space="0" w:color="auto"/>
      </w:divBdr>
    </w:div>
    <w:div w:id="1794014644">
      <w:bodyDiv w:val="1"/>
      <w:marLeft w:val="0"/>
      <w:marRight w:val="0"/>
      <w:marTop w:val="0"/>
      <w:marBottom w:val="0"/>
      <w:divBdr>
        <w:top w:val="none" w:sz="0" w:space="0" w:color="auto"/>
        <w:left w:val="none" w:sz="0" w:space="0" w:color="auto"/>
        <w:bottom w:val="none" w:sz="0" w:space="0" w:color="auto"/>
        <w:right w:val="none" w:sz="0" w:space="0" w:color="auto"/>
      </w:divBdr>
      <w:divsChild>
        <w:div w:id="915285619">
          <w:marLeft w:val="1166"/>
          <w:marRight w:val="0"/>
          <w:marTop w:val="240"/>
          <w:marBottom w:val="240"/>
          <w:divBdr>
            <w:top w:val="none" w:sz="0" w:space="0" w:color="auto"/>
            <w:left w:val="none" w:sz="0" w:space="0" w:color="auto"/>
            <w:bottom w:val="none" w:sz="0" w:space="0" w:color="auto"/>
            <w:right w:val="none" w:sz="0" w:space="0" w:color="auto"/>
          </w:divBdr>
        </w:div>
        <w:div w:id="562065495">
          <w:marLeft w:val="1166"/>
          <w:marRight w:val="0"/>
          <w:marTop w:val="240"/>
          <w:marBottom w:val="240"/>
          <w:divBdr>
            <w:top w:val="none" w:sz="0" w:space="0" w:color="auto"/>
            <w:left w:val="none" w:sz="0" w:space="0" w:color="auto"/>
            <w:bottom w:val="none" w:sz="0" w:space="0" w:color="auto"/>
            <w:right w:val="none" w:sz="0" w:space="0" w:color="auto"/>
          </w:divBdr>
        </w:div>
      </w:divsChild>
    </w:div>
    <w:div w:id="1838228211">
      <w:bodyDiv w:val="1"/>
      <w:marLeft w:val="0"/>
      <w:marRight w:val="0"/>
      <w:marTop w:val="0"/>
      <w:marBottom w:val="0"/>
      <w:divBdr>
        <w:top w:val="none" w:sz="0" w:space="0" w:color="auto"/>
        <w:left w:val="none" w:sz="0" w:space="0" w:color="auto"/>
        <w:bottom w:val="none" w:sz="0" w:space="0" w:color="auto"/>
        <w:right w:val="none" w:sz="0" w:space="0" w:color="auto"/>
      </w:divBdr>
    </w:div>
    <w:div w:id="1882865064">
      <w:bodyDiv w:val="1"/>
      <w:marLeft w:val="0"/>
      <w:marRight w:val="0"/>
      <w:marTop w:val="0"/>
      <w:marBottom w:val="0"/>
      <w:divBdr>
        <w:top w:val="none" w:sz="0" w:space="0" w:color="auto"/>
        <w:left w:val="none" w:sz="0" w:space="0" w:color="auto"/>
        <w:bottom w:val="none" w:sz="0" w:space="0" w:color="auto"/>
        <w:right w:val="none" w:sz="0" w:space="0" w:color="auto"/>
      </w:divBdr>
    </w:div>
    <w:div w:id="1945920199">
      <w:bodyDiv w:val="1"/>
      <w:marLeft w:val="0"/>
      <w:marRight w:val="0"/>
      <w:marTop w:val="0"/>
      <w:marBottom w:val="0"/>
      <w:divBdr>
        <w:top w:val="none" w:sz="0" w:space="0" w:color="auto"/>
        <w:left w:val="none" w:sz="0" w:space="0" w:color="auto"/>
        <w:bottom w:val="none" w:sz="0" w:space="0" w:color="auto"/>
        <w:right w:val="none" w:sz="0" w:space="0" w:color="auto"/>
      </w:divBdr>
    </w:div>
    <w:div w:id="199216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C74848E-29BC-41D4-A8F1-7299D0AF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 CATHIE</dc:creator>
  <cp:lastModifiedBy>RYAN L. CATHIE</cp:lastModifiedBy>
  <cp:revision>4</cp:revision>
  <dcterms:created xsi:type="dcterms:W3CDTF">2017-02-13T22:24:00Z</dcterms:created>
  <dcterms:modified xsi:type="dcterms:W3CDTF">2017-03-03T13:20:00Z</dcterms:modified>
</cp:coreProperties>
</file>